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02879" w14:textId="0E1847CF" w:rsidR="00AE2664" w:rsidRPr="00EF6044" w:rsidRDefault="00AE2664" w:rsidP="000B4F95">
      <w:pPr>
        <w:pStyle w:val="Corpodetexto3"/>
        <w:rPr>
          <w:rFonts w:cs="Arial"/>
          <w:b/>
          <w:sz w:val="24"/>
          <w:szCs w:val="24"/>
          <w:u w:val="none"/>
        </w:rPr>
      </w:pPr>
      <w:r w:rsidRPr="007A25A4">
        <w:rPr>
          <w:rFonts w:cs="Arial"/>
          <w:b/>
          <w:sz w:val="24"/>
          <w:szCs w:val="24"/>
          <w:u w:val="none"/>
        </w:rPr>
        <w:t xml:space="preserve">Anexo </w:t>
      </w:r>
      <w:r w:rsidR="00827559" w:rsidRPr="007A25A4">
        <w:rPr>
          <w:rFonts w:cs="Arial"/>
          <w:b/>
          <w:sz w:val="24"/>
          <w:szCs w:val="24"/>
          <w:u w:val="none"/>
        </w:rPr>
        <w:t>I</w:t>
      </w:r>
      <w:r w:rsidR="006E79B6" w:rsidRPr="007A25A4">
        <w:rPr>
          <w:rFonts w:cs="Arial"/>
          <w:b/>
          <w:sz w:val="24"/>
          <w:szCs w:val="24"/>
          <w:u w:val="none"/>
        </w:rPr>
        <w:t>V</w:t>
      </w:r>
      <w:r w:rsidRPr="007A25A4">
        <w:rPr>
          <w:rFonts w:cs="Arial"/>
          <w:b/>
          <w:sz w:val="24"/>
          <w:szCs w:val="24"/>
          <w:u w:val="none"/>
        </w:rPr>
        <w:t xml:space="preserve"> à Circular </w:t>
      </w:r>
      <w:r w:rsidR="00E67540" w:rsidRPr="007A25A4">
        <w:rPr>
          <w:rFonts w:cs="Arial"/>
          <w:b/>
          <w:sz w:val="24"/>
          <w:szCs w:val="24"/>
          <w:u w:val="none"/>
        </w:rPr>
        <w:t>SUP/A</w:t>
      </w:r>
      <w:r w:rsidR="00003AC6" w:rsidRPr="007A25A4">
        <w:rPr>
          <w:rFonts w:cs="Arial"/>
          <w:b/>
          <w:sz w:val="24"/>
          <w:szCs w:val="24"/>
          <w:u w:val="none"/>
        </w:rPr>
        <w:t>DIG</w:t>
      </w:r>
      <w:r w:rsidR="00E67540" w:rsidRPr="007A25A4">
        <w:rPr>
          <w:rFonts w:cs="Arial"/>
          <w:b/>
          <w:sz w:val="24"/>
          <w:szCs w:val="24"/>
          <w:u w:val="none"/>
        </w:rPr>
        <w:t xml:space="preserve"> </w:t>
      </w:r>
      <w:r w:rsidRPr="007A25A4">
        <w:rPr>
          <w:rFonts w:cs="Arial"/>
          <w:b/>
          <w:sz w:val="24"/>
          <w:szCs w:val="24"/>
          <w:u w:val="none"/>
        </w:rPr>
        <w:t xml:space="preserve">nº </w:t>
      </w:r>
      <w:r w:rsidR="007A25A4">
        <w:rPr>
          <w:rFonts w:cs="Arial"/>
          <w:b/>
          <w:sz w:val="24"/>
          <w:szCs w:val="24"/>
          <w:u w:val="none"/>
        </w:rPr>
        <w:t>13</w:t>
      </w:r>
      <w:r w:rsidR="00891BB9" w:rsidRPr="007A25A4">
        <w:rPr>
          <w:rFonts w:cs="Arial"/>
          <w:b/>
          <w:sz w:val="24"/>
          <w:szCs w:val="24"/>
          <w:u w:val="none"/>
        </w:rPr>
        <w:t>/</w:t>
      </w:r>
      <w:r w:rsidR="009D0E8F" w:rsidRPr="007A25A4">
        <w:rPr>
          <w:rFonts w:cs="Arial"/>
          <w:b/>
          <w:sz w:val="24"/>
          <w:szCs w:val="24"/>
          <w:u w:val="none"/>
        </w:rPr>
        <w:t>20</w:t>
      </w:r>
      <w:r w:rsidR="006E79B6" w:rsidRPr="007A25A4">
        <w:rPr>
          <w:rFonts w:cs="Arial"/>
          <w:b/>
          <w:sz w:val="24"/>
          <w:szCs w:val="24"/>
          <w:u w:val="none"/>
        </w:rPr>
        <w:t>2</w:t>
      </w:r>
      <w:r w:rsidR="00865B71" w:rsidRPr="007A25A4">
        <w:rPr>
          <w:rFonts w:cs="Arial"/>
          <w:b/>
          <w:sz w:val="24"/>
          <w:szCs w:val="24"/>
          <w:u w:val="none"/>
        </w:rPr>
        <w:t>2</w:t>
      </w:r>
      <w:r w:rsidR="00E67540" w:rsidRPr="007A25A4">
        <w:rPr>
          <w:rFonts w:cs="Arial"/>
          <w:b/>
          <w:sz w:val="24"/>
          <w:szCs w:val="24"/>
          <w:u w:val="none"/>
        </w:rPr>
        <w:t>-BNDES</w:t>
      </w:r>
      <w:r w:rsidRPr="007A25A4">
        <w:rPr>
          <w:rFonts w:cs="Arial"/>
          <w:b/>
          <w:sz w:val="24"/>
          <w:szCs w:val="24"/>
          <w:u w:val="none"/>
        </w:rPr>
        <w:t xml:space="preserve">, de </w:t>
      </w:r>
      <w:r w:rsidR="007A25A4">
        <w:rPr>
          <w:rFonts w:cs="Arial"/>
          <w:b/>
          <w:sz w:val="24"/>
          <w:szCs w:val="24"/>
          <w:u w:val="none"/>
        </w:rPr>
        <w:t>26</w:t>
      </w:r>
      <w:r w:rsidRPr="007A25A4">
        <w:rPr>
          <w:rFonts w:cs="Arial"/>
          <w:b/>
          <w:sz w:val="24"/>
          <w:szCs w:val="24"/>
          <w:u w:val="none"/>
        </w:rPr>
        <w:t>.</w:t>
      </w:r>
      <w:r w:rsidR="007A25A4">
        <w:rPr>
          <w:rFonts w:cs="Arial"/>
          <w:b/>
          <w:sz w:val="24"/>
          <w:szCs w:val="24"/>
          <w:u w:val="none"/>
        </w:rPr>
        <w:t>05</w:t>
      </w:r>
      <w:r w:rsidRPr="007A25A4">
        <w:rPr>
          <w:rFonts w:cs="Arial"/>
          <w:b/>
          <w:sz w:val="24"/>
          <w:szCs w:val="24"/>
          <w:u w:val="none"/>
        </w:rPr>
        <w:t>.</w:t>
      </w:r>
      <w:r w:rsidR="006E79B6" w:rsidRPr="007A25A4">
        <w:rPr>
          <w:rFonts w:cs="Arial"/>
          <w:b/>
          <w:sz w:val="24"/>
          <w:szCs w:val="24"/>
          <w:u w:val="none"/>
        </w:rPr>
        <w:t>202</w:t>
      </w:r>
      <w:r w:rsidR="00865B71" w:rsidRPr="007A25A4">
        <w:rPr>
          <w:rFonts w:cs="Arial"/>
          <w:b/>
          <w:sz w:val="24"/>
          <w:szCs w:val="24"/>
          <w:u w:val="none"/>
        </w:rPr>
        <w:t>2</w:t>
      </w:r>
    </w:p>
    <w:p w14:paraId="06BD87EC" w14:textId="77777777" w:rsidR="00073AD2" w:rsidRPr="00C128E0" w:rsidRDefault="00073AD2" w:rsidP="00B82233">
      <w:pPr>
        <w:pStyle w:val="Corpodetexto3"/>
        <w:jc w:val="center"/>
        <w:rPr>
          <w:rFonts w:cs="Arial"/>
          <w:b/>
          <w:sz w:val="24"/>
          <w:szCs w:val="24"/>
          <w:u w:val="none"/>
        </w:rPr>
      </w:pPr>
    </w:p>
    <w:p w14:paraId="301413AB" w14:textId="7E95EB1E" w:rsidR="00D7002F" w:rsidRPr="008645A7" w:rsidRDefault="008645A7" w:rsidP="00B82233">
      <w:pPr>
        <w:pStyle w:val="Corpodetexto3"/>
        <w:jc w:val="center"/>
        <w:rPr>
          <w:rFonts w:cs="Arial"/>
          <w:sz w:val="24"/>
          <w:szCs w:val="24"/>
        </w:rPr>
      </w:pPr>
      <w:r w:rsidRPr="00B82233">
        <w:rPr>
          <w:rFonts w:cs="Arial"/>
          <w:b/>
          <w:sz w:val="24"/>
          <w:szCs w:val="24"/>
        </w:rPr>
        <w:t xml:space="preserve">Cláusulas e condições que deverão constar nos instrumentos jurídicos que formalizam a operação de crédito entre as Instituições Financeiras Credenciadas e os Clientes, observadas eventuais especificidades previstas nas Circulares dos Programas </w:t>
      </w:r>
    </w:p>
    <w:p w14:paraId="0D436409" w14:textId="77777777" w:rsidR="00D7002F" w:rsidRDefault="00D7002F">
      <w:pPr>
        <w:pStyle w:val="Corpodetexto3"/>
        <w:rPr>
          <w:rFonts w:cs="Arial"/>
          <w:b/>
          <w:sz w:val="24"/>
          <w:szCs w:val="24"/>
        </w:rPr>
      </w:pPr>
    </w:p>
    <w:p w14:paraId="6D6169BC" w14:textId="247AE60E" w:rsidR="00234279" w:rsidRPr="00797A8C" w:rsidRDefault="00234279" w:rsidP="00B82233">
      <w:pPr>
        <w:pStyle w:val="BNDES"/>
        <w:numPr>
          <w:ilvl w:val="0"/>
          <w:numId w:val="49"/>
        </w:numPr>
        <w:ind w:left="709" w:hanging="709"/>
        <w:rPr>
          <w:rFonts w:cs="Arial"/>
          <w:b/>
          <w:szCs w:val="24"/>
          <w:u w:val="single"/>
        </w:rPr>
      </w:pPr>
      <w:r w:rsidRPr="003008CF">
        <w:rPr>
          <w:rFonts w:cs="Arial"/>
          <w:b/>
          <w:szCs w:val="24"/>
          <w:u w:val="single"/>
        </w:rPr>
        <w:t>C</w:t>
      </w:r>
      <w:r w:rsidR="00CF776F" w:rsidRPr="003008CF">
        <w:rPr>
          <w:rFonts w:cs="Arial"/>
          <w:b/>
          <w:szCs w:val="24"/>
          <w:u w:val="single"/>
        </w:rPr>
        <w:t>láusulas e</w:t>
      </w:r>
      <w:r w:rsidR="00C733E7">
        <w:rPr>
          <w:rFonts w:cs="Arial"/>
          <w:b/>
          <w:szCs w:val="24"/>
          <w:u w:val="single"/>
        </w:rPr>
        <w:t>specíficas</w:t>
      </w:r>
      <w:r w:rsidRPr="00E31D8B">
        <w:rPr>
          <w:rFonts w:cs="Arial"/>
          <w:b/>
          <w:szCs w:val="24"/>
          <w:u w:val="single"/>
        </w:rPr>
        <w:t xml:space="preserve"> </w:t>
      </w:r>
      <w:r w:rsidR="002E037F" w:rsidRPr="00085A8A">
        <w:rPr>
          <w:rFonts w:cs="Arial"/>
          <w:b/>
          <w:szCs w:val="24"/>
          <w:u w:val="single"/>
        </w:rPr>
        <w:t xml:space="preserve">que </w:t>
      </w:r>
      <w:r w:rsidR="002E037F" w:rsidRPr="00133EC2">
        <w:rPr>
          <w:rFonts w:cs="Arial"/>
          <w:b/>
          <w:szCs w:val="24"/>
          <w:u w:val="single"/>
        </w:rPr>
        <w:t xml:space="preserve">deverão constar nos </w:t>
      </w:r>
      <w:r w:rsidR="008775E5">
        <w:rPr>
          <w:rFonts w:cs="Arial"/>
          <w:b/>
          <w:szCs w:val="24"/>
          <w:u w:val="single"/>
        </w:rPr>
        <w:t>instrumentos jurídicos que formalizam a operação de crédito</w:t>
      </w:r>
      <w:r w:rsidR="002E037F" w:rsidRPr="00133EC2">
        <w:rPr>
          <w:rFonts w:cs="Arial"/>
          <w:b/>
          <w:szCs w:val="24"/>
          <w:u w:val="single"/>
        </w:rPr>
        <w:t xml:space="preserve"> </w:t>
      </w:r>
      <w:r w:rsidRPr="00133EC2">
        <w:rPr>
          <w:rFonts w:cs="Arial"/>
          <w:b/>
          <w:szCs w:val="24"/>
          <w:u w:val="single"/>
        </w:rPr>
        <w:t xml:space="preserve">com Custo </w:t>
      </w:r>
      <w:r w:rsidRPr="008D4743">
        <w:rPr>
          <w:rFonts w:cs="Arial"/>
          <w:b/>
          <w:szCs w:val="24"/>
          <w:u w:val="single"/>
        </w:rPr>
        <w:t>Financeiro em TLP</w:t>
      </w:r>
    </w:p>
    <w:p w14:paraId="4D22418A" w14:textId="77777777" w:rsidR="00234279" w:rsidRPr="00050EC3" w:rsidRDefault="00234279">
      <w:pPr>
        <w:pStyle w:val="Corpodetexto3"/>
        <w:rPr>
          <w:rFonts w:cs="Arial"/>
          <w:b/>
          <w:sz w:val="24"/>
          <w:szCs w:val="24"/>
        </w:rPr>
      </w:pPr>
    </w:p>
    <w:p w14:paraId="5AE8C702" w14:textId="77777777" w:rsidR="00E41769" w:rsidRPr="00B82233" w:rsidRDefault="00E41769" w:rsidP="00E41769">
      <w:pPr>
        <w:jc w:val="both"/>
        <w:rPr>
          <w:rFonts w:ascii="Arial" w:hAnsi="Arial" w:cs="Arial"/>
          <w:sz w:val="24"/>
          <w:szCs w:val="24"/>
          <w:u w:val="single"/>
        </w:rPr>
      </w:pPr>
    </w:p>
    <w:p w14:paraId="6E9DEC52" w14:textId="0D476A4E" w:rsidR="005A49D2" w:rsidRPr="00B82233" w:rsidRDefault="00234279" w:rsidP="00B40FEF">
      <w:pPr>
        <w:jc w:val="both"/>
        <w:rPr>
          <w:rFonts w:ascii="Arial" w:hAnsi="Arial" w:cs="Arial"/>
          <w:sz w:val="24"/>
          <w:szCs w:val="24"/>
          <w:u w:val="single"/>
        </w:rPr>
      </w:pPr>
      <w:r w:rsidRPr="00B82233">
        <w:rPr>
          <w:rFonts w:ascii="Arial" w:hAnsi="Arial" w:cs="Arial"/>
          <w:sz w:val="24"/>
          <w:szCs w:val="24"/>
          <w:u w:val="single"/>
        </w:rPr>
        <w:t>VALOR DO CRÉDITO</w:t>
      </w:r>
      <w:r w:rsidRPr="00B82233">
        <w:rPr>
          <w:rFonts w:ascii="Arial" w:hAnsi="Arial" w:cs="Arial"/>
          <w:sz w:val="24"/>
          <w:szCs w:val="24"/>
        </w:rPr>
        <w:t>: R$ ................... (..............), a ser provido com recursos or</w:t>
      </w:r>
      <w:r w:rsidR="00B948CB" w:rsidRPr="00B82233">
        <w:rPr>
          <w:rFonts w:ascii="Arial" w:hAnsi="Arial" w:cs="Arial"/>
          <w:sz w:val="24"/>
          <w:szCs w:val="24"/>
        </w:rPr>
        <w:t>d</w:t>
      </w:r>
      <w:r w:rsidRPr="00B82233">
        <w:rPr>
          <w:rFonts w:ascii="Arial" w:hAnsi="Arial" w:cs="Arial"/>
          <w:sz w:val="24"/>
          <w:szCs w:val="24"/>
        </w:rPr>
        <w:t xml:space="preserve">inários do </w:t>
      </w:r>
      <w:r w:rsidR="00072AC0">
        <w:rPr>
          <w:rFonts w:ascii="Arial" w:hAnsi="Arial" w:cs="Arial"/>
          <w:sz w:val="24"/>
          <w:szCs w:val="24"/>
        </w:rPr>
        <w:t xml:space="preserve">Sistema </w:t>
      </w:r>
      <w:r w:rsidRPr="00B82233">
        <w:rPr>
          <w:rFonts w:ascii="Arial" w:hAnsi="Arial" w:cs="Arial"/>
          <w:sz w:val="24"/>
          <w:szCs w:val="24"/>
        </w:rPr>
        <w:t xml:space="preserve">BNDES, que são compostos, dentre outras fontes, pelos recursos do Fundo de Amparo ao Trabalhador – FAT e pelos recursos originários do FAT – Depósitos Especiais, respeitada, quanto à sua alocação, a legislação aplicável a cada uma das aludidas fontes, à conta do Contrato de Abertura de Crédito (CAC), celebrado entre o </w:t>
      </w:r>
      <w:r w:rsidR="00AA635C">
        <w:rPr>
          <w:rFonts w:ascii="Arial" w:hAnsi="Arial" w:cs="Arial"/>
          <w:sz w:val="24"/>
          <w:szCs w:val="24"/>
        </w:rPr>
        <w:t xml:space="preserve">Sistema </w:t>
      </w:r>
      <w:r w:rsidRPr="00B82233">
        <w:rPr>
          <w:rFonts w:ascii="Arial" w:hAnsi="Arial" w:cs="Arial"/>
          <w:sz w:val="24"/>
          <w:szCs w:val="24"/>
        </w:rPr>
        <w:t>BNDES e INSTITUIÇÕES FINANCEIRAS CREDENCIADAS.</w:t>
      </w:r>
    </w:p>
    <w:p w14:paraId="7C98D8E8" w14:textId="77777777" w:rsidR="00062FAC" w:rsidRPr="00B82233" w:rsidRDefault="00062FAC" w:rsidP="00062FAC">
      <w:pPr>
        <w:jc w:val="both"/>
        <w:rPr>
          <w:rFonts w:ascii="Arial" w:hAnsi="Arial" w:cs="Arial"/>
          <w:sz w:val="24"/>
          <w:szCs w:val="24"/>
        </w:rPr>
      </w:pPr>
    </w:p>
    <w:p w14:paraId="0EC64388" w14:textId="77777777" w:rsidR="00062FAC" w:rsidRPr="00B82233" w:rsidRDefault="00062FAC" w:rsidP="00062FAC">
      <w:pPr>
        <w:pStyle w:val="BNDES"/>
        <w:rPr>
          <w:rFonts w:cs="Arial"/>
          <w:szCs w:val="24"/>
        </w:rPr>
      </w:pPr>
      <w:r w:rsidRPr="00B82233">
        <w:rPr>
          <w:rFonts w:cs="Arial"/>
          <w:szCs w:val="24"/>
          <w:u w:val="single"/>
        </w:rPr>
        <w:t>JUROS</w:t>
      </w:r>
      <w:r w:rsidRPr="00B82233">
        <w:rPr>
          <w:rFonts w:cs="Arial"/>
          <w:szCs w:val="24"/>
        </w:rPr>
        <w:t>: Os juros são devidos às seguintes taxas, observada a sistemática estabelecida nas condições adiante:</w:t>
      </w:r>
    </w:p>
    <w:p w14:paraId="671966A3" w14:textId="77777777" w:rsidR="00E51CF0" w:rsidRPr="00797A8C" w:rsidRDefault="00E51CF0">
      <w:pPr>
        <w:pStyle w:val="Corpodetexto3"/>
        <w:rPr>
          <w:rFonts w:cs="Arial"/>
          <w:sz w:val="24"/>
          <w:szCs w:val="24"/>
          <w:u w:val="none"/>
        </w:rPr>
      </w:pPr>
    </w:p>
    <w:p w14:paraId="548357D3" w14:textId="25ED4E76" w:rsidR="00F45466" w:rsidRPr="00B82233" w:rsidRDefault="00F45466" w:rsidP="00F45466">
      <w:pPr>
        <w:pStyle w:val="BNDES"/>
        <w:rPr>
          <w:rFonts w:cs="Arial"/>
          <w:szCs w:val="24"/>
        </w:rPr>
      </w:pPr>
      <w:r w:rsidRPr="00B82233">
        <w:rPr>
          <w:rFonts w:cs="Arial"/>
          <w:szCs w:val="24"/>
        </w:rPr>
        <w:t xml:space="preserve">I - </w:t>
      </w:r>
      <w:r w:rsidRPr="00B82233">
        <w:rPr>
          <w:rFonts w:cs="Arial"/>
          <w:szCs w:val="24"/>
          <w:u w:val="single"/>
        </w:rPr>
        <w:t>a serem cobrados à INSTITUIÇÃO FINANCEIRA CREDENCIADA pelo</w:t>
      </w:r>
      <w:r w:rsidR="002631B2">
        <w:rPr>
          <w:rFonts w:cs="Arial"/>
          <w:szCs w:val="24"/>
          <w:u w:val="single"/>
        </w:rPr>
        <w:t xml:space="preserve"> Sistema</w:t>
      </w:r>
      <w:r w:rsidRPr="00B82233">
        <w:rPr>
          <w:rFonts w:cs="Arial"/>
          <w:szCs w:val="24"/>
          <w:u w:val="single"/>
        </w:rPr>
        <w:t xml:space="preserve"> BNDES</w:t>
      </w:r>
      <w:r w:rsidRPr="00B82233">
        <w:rPr>
          <w:rFonts w:cs="Arial"/>
          <w:szCs w:val="24"/>
        </w:rPr>
        <w:t xml:space="preserve">: </w:t>
      </w:r>
    </w:p>
    <w:p w14:paraId="4DCD26F9" w14:textId="77777777" w:rsidR="00F45466" w:rsidRPr="00B82233" w:rsidRDefault="00F45466" w:rsidP="00F45466">
      <w:pPr>
        <w:pStyle w:val="BNDES"/>
        <w:rPr>
          <w:rFonts w:cs="Arial"/>
          <w:szCs w:val="24"/>
        </w:rPr>
      </w:pPr>
    </w:p>
    <w:p w14:paraId="525CF8D2" w14:textId="77777777" w:rsidR="00F45466" w:rsidRPr="00B82233" w:rsidRDefault="00F45466" w:rsidP="00F45466">
      <w:pPr>
        <w:pStyle w:val="BNDES"/>
        <w:ind w:left="284" w:hanging="284"/>
        <w:rPr>
          <w:rFonts w:cs="Arial"/>
          <w:szCs w:val="24"/>
        </w:rPr>
      </w:pPr>
      <w:r w:rsidRPr="00B82233">
        <w:rPr>
          <w:rFonts w:cs="Arial"/>
          <w:szCs w:val="24"/>
        </w:rPr>
        <w:t xml:space="preserve">....% (....... por cento) ao ano (a título de remuneração), composto com a Taxa de Longo Prazo –TLP; </w:t>
      </w:r>
    </w:p>
    <w:p w14:paraId="53C26C60" w14:textId="77777777" w:rsidR="00F45466" w:rsidRPr="00B82233" w:rsidRDefault="00F45466" w:rsidP="00F45466">
      <w:pPr>
        <w:pStyle w:val="BNDES"/>
        <w:rPr>
          <w:rFonts w:cs="Arial"/>
          <w:szCs w:val="24"/>
        </w:rPr>
      </w:pPr>
    </w:p>
    <w:p w14:paraId="64C481C7" w14:textId="215EBD2E" w:rsidR="00F45466" w:rsidRPr="00B82233" w:rsidRDefault="00F45466" w:rsidP="00F45466">
      <w:pPr>
        <w:pStyle w:val="BNDES"/>
        <w:rPr>
          <w:rFonts w:cs="Arial"/>
          <w:szCs w:val="24"/>
        </w:rPr>
      </w:pPr>
      <w:r w:rsidRPr="00B82233">
        <w:rPr>
          <w:rFonts w:cs="Arial"/>
          <w:szCs w:val="24"/>
        </w:rPr>
        <w:t xml:space="preserve">II - </w:t>
      </w:r>
      <w:r w:rsidRPr="00B82233">
        <w:rPr>
          <w:rFonts w:cs="Arial"/>
          <w:szCs w:val="24"/>
          <w:u w:val="single"/>
        </w:rPr>
        <w:t xml:space="preserve">a serem cobrados </w:t>
      </w:r>
      <w:r w:rsidR="0080070D">
        <w:rPr>
          <w:rFonts w:cs="Arial"/>
          <w:szCs w:val="24"/>
          <w:u w:val="single"/>
        </w:rPr>
        <w:t>ao</w:t>
      </w:r>
      <w:r w:rsidR="0080070D" w:rsidRPr="00B82233">
        <w:rPr>
          <w:rFonts w:cs="Arial"/>
          <w:szCs w:val="24"/>
          <w:u w:val="single"/>
        </w:rPr>
        <w:t xml:space="preserve"> </w:t>
      </w:r>
      <w:r w:rsidR="00B81598">
        <w:rPr>
          <w:rFonts w:cs="Arial"/>
          <w:szCs w:val="24"/>
          <w:u w:val="single"/>
        </w:rPr>
        <w:t>CLIENTE</w:t>
      </w:r>
      <w:r w:rsidR="0080070D">
        <w:rPr>
          <w:rFonts w:cs="Arial"/>
          <w:szCs w:val="24"/>
          <w:u w:val="single"/>
        </w:rPr>
        <w:t xml:space="preserve"> </w:t>
      </w:r>
      <w:r w:rsidRPr="00B82233">
        <w:rPr>
          <w:rFonts w:cs="Arial"/>
          <w:szCs w:val="24"/>
          <w:u w:val="single"/>
        </w:rPr>
        <w:t>pela INSTITUIÇÃO FINANCEIRA CREDENCIADA</w:t>
      </w:r>
      <w:r w:rsidRPr="00B82233">
        <w:rPr>
          <w:rFonts w:cs="Arial"/>
          <w:szCs w:val="24"/>
        </w:rPr>
        <w:t>:</w:t>
      </w:r>
    </w:p>
    <w:p w14:paraId="61B3A681" w14:textId="77777777" w:rsidR="00F45466" w:rsidRPr="00B82233" w:rsidRDefault="00F45466" w:rsidP="00F45466">
      <w:pPr>
        <w:pStyle w:val="BNDES"/>
        <w:rPr>
          <w:rFonts w:cs="Arial"/>
          <w:szCs w:val="24"/>
        </w:rPr>
      </w:pPr>
    </w:p>
    <w:p w14:paraId="6E3977B5" w14:textId="4A8C53FE" w:rsidR="00F45466" w:rsidRPr="00B82233" w:rsidRDefault="00F45466" w:rsidP="00B82233">
      <w:pPr>
        <w:pStyle w:val="BNDES"/>
        <w:ind w:left="284"/>
        <w:rPr>
          <w:rFonts w:cs="Arial"/>
          <w:szCs w:val="24"/>
        </w:rPr>
      </w:pPr>
      <w:r w:rsidRPr="00B82233">
        <w:rPr>
          <w:rFonts w:cs="Arial"/>
          <w:szCs w:val="24"/>
        </w:rPr>
        <w:t xml:space="preserve"> ...% (.......... por cento) ao ano (a título de remuneração), composto com as taxas a serem cobradas à INSTITUIÇÃO FINANCEIRA CREDENCIADA pelo</w:t>
      </w:r>
      <w:r w:rsidR="0036709C">
        <w:rPr>
          <w:rFonts w:cs="Arial"/>
          <w:szCs w:val="24"/>
        </w:rPr>
        <w:t xml:space="preserve"> Sistema</w:t>
      </w:r>
      <w:r w:rsidRPr="00B82233">
        <w:rPr>
          <w:rFonts w:cs="Arial"/>
          <w:szCs w:val="24"/>
        </w:rPr>
        <w:t xml:space="preserve"> BNDES.</w:t>
      </w:r>
    </w:p>
    <w:p w14:paraId="2DB248C0" w14:textId="77777777" w:rsidR="00F45466" w:rsidRPr="00B82233" w:rsidRDefault="00F45466" w:rsidP="00F45466">
      <w:pPr>
        <w:pStyle w:val="BNDES"/>
        <w:rPr>
          <w:rFonts w:cs="Arial"/>
          <w:szCs w:val="24"/>
        </w:rPr>
      </w:pPr>
    </w:p>
    <w:p w14:paraId="2B9DBA1A" w14:textId="77777777" w:rsidR="00F45466" w:rsidRPr="00B82233" w:rsidRDefault="00F45466" w:rsidP="00F45466">
      <w:pPr>
        <w:pStyle w:val="BNDES"/>
        <w:rPr>
          <w:rFonts w:cs="Arial"/>
          <w:szCs w:val="24"/>
          <w:u w:val="single"/>
        </w:rPr>
      </w:pPr>
      <w:r w:rsidRPr="00B82233">
        <w:rPr>
          <w:rFonts w:cs="Arial"/>
          <w:szCs w:val="24"/>
          <w:u w:val="single"/>
        </w:rPr>
        <w:t>Forma de Cálculo</w:t>
      </w:r>
    </w:p>
    <w:p w14:paraId="5CF954CE" w14:textId="201A05F6" w:rsidR="00F45466" w:rsidRPr="00B82233" w:rsidRDefault="00F45466" w:rsidP="00F45466">
      <w:pPr>
        <w:pStyle w:val="BNDES"/>
        <w:rPr>
          <w:rFonts w:cs="Arial"/>
          <w:szCs w:val="24"/>
        </w:rPr>
      </w:pPr>
      <w:r w:rsidRPr="00B82233">
        <w:rPr>
          <w:rFonts w:cs="Arial"/>
          <w:szCs w:val="24"/>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B82233">
        <w:rPr>
          <w:rFonts w:cs="Arial"/>
          <w:i/>
          <w:szCs w:val="24"/>
        </w:rPr>
        <w:t>pro rata temporis</w:t>
      </w:r>
      <w:r w:rsidRPr="00B82233">
        <w:rPr>
          <w:rFonts w:cs="Arial"/>
          <w:szCs w:val="24"/>
        </w:rPr>
        <w:t>, (ii) pela taxa de juros prefixada de [●] % (●) ao ano (J</w:t>
      </w:r>
      <w:r w:rsidR="009D2AB4" w:rsidRPr="00B82233">
        <w:rPr>
          <w:rStyle w:val="Refdenotaderodap"/>
          <w:rFonts w:cs="Arial"/>
          <w:szCs w:val="24"/>
        </w:rPr>
        <w:footnoteReference w:id="2"/>
      </w:r>
      <w:r w:rsidRPr="00B82233">
        <w:rPr>
          <w:rFonts w:cs="Arial"/>
          <w:szCs w:val="24"/>
        </w:rPr>
        <w:t xml:space="preserve">), (iii) pelo spread do </w:t>
      </w:r>
      <w:r w:rsidR="008C312E" w:rsidRPr="00236F88">
        <w:rPr>
          <w:rFonts w:cs="Arial"/>
          <w:szCs w:val="24"/>
        </w:rPr>
        <w:t xml:space="preserve">Sistema </w:t>
      </w:r>
      <w:r w:rsidRPr="00B82233">
        <w:rPr>
          <w:rFonts w:cs="Arial"/>
          <w:szCs w:val="24"/>
        </w:rPr>
        <w:t>BNDES</w:t>
      </w:r>
      <w:r w:rsidR="009D2AB4" w:rsidRPr="00B82233">
        <w:rPr>
          <w:rStyle w:val="Refdenotaderodap"/>
          <w:rFonts w:cs="Arial"/>
          <w:szCs w:val="24"/>
        </w:rPr>
        <w:footnoteReference w:id="3"/>
      </w:r>
      <w:r w:rsidRPr="00B82233">
        <w:rPr>
          <w:rFonts w:cs="Arial"/>
          <w:szCs w:val="24"/>
        </w:rPr>
        <w:t xml:space="preserve"> de [●] % (●) ao ano (“Spread BNDES”), e (iv) pelo spread da Instituição Financeira Credenciada de [●] % (●) (“Spread </w:t>
      </w:r>
      <w:r w:rsidR="00C42D0E" w:rsidRPr="00B82233">
        <w:rPr>
          <w:rFonts w:cs="Arial"/>
          <w:szCs w:val="24"/>
        </w:rPr>
        <w:t>da Instituição Financeira Credenciada</w:t>
      </w:r>
      <w:r w:rsidRPr="00B82233">
        <w:rPr>
          <w:rFonts w:cs="Arial"/>
          <w:szCs w:val="24"/>
        </w:rPr>
        <w:t xml:space="preserve">”), estas três últimas com base em um ano calendário de 252 (duzentos e cinquenta e dois) Dias Úteis, calculado de forma </w:t>
      </w:r>
      <w:r w:rsidRPr="00B82233">
        <w:rPr>
          <w:rFonts w:cs="Arial"/>
          <w:i/>
          <w:szCs w:val="24"/>
        </w:rPr>
        <w:t>pro rata temporis</w:t>
      </w:r>
      <w:r w:rsidRPr="00B82233">
        <w:rPr>
          <w:rFonts w:cs="Arial"/>
          <w:szCs w:val="24"/>
        </w:rPr>
        <w:t>, em regime de capitalização composta, de acordo com a seguinte fórmula (“Remuneração”):</w:t>
      </w:r>
    </w:p>
    <w:p w14:paraId="6437491C" w14:textId="77777777" w:rsidR="00F45466" w:rsidRPr="00B82233" w:rsidRDefault="00F45466" w:rsidP="00F45466">
      <w:pPr>
        <w:pStyle w:val="BNDES"/>
        <w:rPr>
          <w:rFonts w:cs="Arial"/>
          <w:szCs w:val="24"/>
        </w:rPr>
      </w:pPr>
    </w:p>
    <w:p w14:paraId="37FCB50D" w14:textId="77777777" w:rsidR="00F45466" w:rsidRPr="00B82233" w:rsidRDefault="00F45466" w:rsidP="00F45466">
      <w:pPr>
        <w:pStyle w:val="BNDES"/>
        <w:rPr>
          <w:rFonts w:cs="Arial"/>
          <w:szCs w:val="24"/>
        </w:rPr>
      </w:pPr>
      <w:r w:rsidRPr="00B82233">
        <w:rPr>
          <w:rFonts w:cs="Arial"/>
          <w:szCs w:val="24"/>
        </w:rPr>
        <w:lastRenderedPageBreak/>
        <w:t>JU = SD x (FatorJuros-1)</w:t>
      </w:r>
    </w:p>
    <w:p w14:paraId="74BA938E" w14:textId="77777777" w:rsidR="00F45466" w:rsidRPr="00B82233" w:rsidRDefault="00F45466" w:rsidP="00F45466">
      <w:pPr>
        <w:pStyle w:val="BNDES"/>
        <w:rPr>
          <w:rFonts w:cs="Arial"/>
          <w:szCs w:val="24"/>
        </w:rPr>
      </w:pPr>
    </w:p>
    <w:p w14:paraId="34BB94A4" w14:textId="77777777" w:rsidR="00F45466" w:rsidRPr="00B82233" w:rsidRDefault="00F45466" w:rsidP="00F45466">
      <w:pPr>
        <w:pStyle w:val="BNDES"/>
        <w:rPr>
          <w:rFonts w:cs="Arial"/>
          <w:szCs w:val="24"/>
        </w:rPr>
      </w:pPr>
      <w:r w:rsidRPr="00B82233">
        <w:rPr>
          <w:rFonts w:cs="Arial"/>
          <w:szCs w:val="24"/>
        </w:rPr>
        <w:t>Onde:</w:t>
      </w:r>
    </w:p>
    <w:p w14:paraId="1B421A58" w14:textId="77777777" w:rsidR="003E70E1" w:rsidRPr="00B82233" w:rsidRDefault="003E70E1" w:rsidP="00F45466">
      <w:pPr>
        <w:pStyle w:val="BNDES"/>
        <w:rPr>
          <w:rFonts w:cs="Arial"/>
          <w:szCs w:val="24"/>
        </w:rPr>
      </w:pPr>
    </w:p>
    <w:p w14:paraId="51F94F60" w14:textId="77777777" w:rsidR="00F45466" w:rsidRPr="00B82233" w:rsidRDefault="00F45466" w:rsidP="00F45466">
      <w:pPr>
        <w:pStyle w:val="BNDES"/>
        <w:rPr>
          <w:rFonts w:cs="Arial"/>
          <w:szCs w:val="24"/>
        </w:rPr>
      </w:pPr>
      <w:r w:rsidRPr="00B82233">
        <w:rPr>
          <w:rFonts w:cs="Arial"/>
          <w:b/>
          <w:szCs w:val="24"/>
        </w:rPr>
        <w:t>JU:</w:t>
      </w:r>
      <w:r w:rsidRPr="00B82233">
        <w:rPr>
          <w:rFonts w:cs="Arial"/>
          <w:szCs w:val="24"/>
        </w:rPr>
        <w:tab/>
        <w:t>corresponde à Remuneração acumulada no período, calculada com [2] (duas) casas decimais com arredondamento, devida no final de cada Período de Juros;</w:t>
      </w:r>
    </w:p>
    <w:p w14:paraId="6466F28F" w14:textId="77777777" w:rsidR="003E70E1" w:rsidRPr="00B82233" w:rsidRDefault="003E70E1" w:rsidP="00F45466">
      <w:pPr>
        <w:pStyle w:val="BNDES"/>
        <w:rPr>
          <w:rFonts w:cs="Arial"/>
          <w:szCs w:val="24"/>
        </w:rPr>
      </w:pPr>
    </w:p>
    <w:p w14:paraId="5C744C3D" w14:textId="77777777" w:rsidR="00F45466" w:rsidRPr="00B82233" w:rsidRDefault="00F45466" w:rsidP="00F45466">
      <w:pPr>
        <w:pStyle w:val="BNDES"/>
        <w:rPr>
          <w:rFonts w:cs="Arial"/>
          <w:szCs w:val="24"/>
        </w:rPr>
      </w:pPr>
      <w:r w:rsidRPr="00B82233">
        <w:rPr>
          <w:rFonts w:cs="Arial"/>
          <w:b/>
          <w:szCs w:val="24"/>
        </w:rPr>
        <w:t>SD =</w:t>
      </w:r>
      <w:r w:rsidRPr="00B82233">
        <w:rPr>
          <w:rFonts w:cs="Arial"/>
          <w:szCs w:val="24"/>
        </w:rPr>
        <w:t xml:space="preserve"> corresponde ao saldo devedor no primeiro dia do Período de Juros com [2] (duas) casas decimais, com arredondamento;</w:t>
      </w:r>
    </w:p>
    <w:p w14:paraId="749D9666" w14:textId="77777777" w:rsidR="002800E5" w:rsidRPr="00B82233" w:rsidRDefault="002800E5" w:rsidP="00F45466">
      <w:pPr>
        <w:pStyle w:val="BNDES"/>
        <w:rPr>
          <w:rFonts w:cs="Arial"/>
          <w:szCs w:val="24"/>
        </w:rPr>
      </w:pPr>
    </w:p>
    <w:p w14:paraId="5C9FC9E1" w14:textId="77777777" w:rsidR="00F45466" w:rsidRPr="00B82233" w:rsidRDefault="00F45466" w:rsidP="00F45466">
      <w:pPr>
        <w:pStyle w:val="BNDES"/>
        <w:rPr>
          <w:rFonts w:cs="Arial"/>
          <w:szCs w:val="24"/>
        </w:rPr>
      </w:pPr>
      <w:r w:rsidRPr="00B82233">
        <w:rPr>
          <w:rFonts w:cs="Arial"/>
          <w:b/>
          <w:szCs w:val="24"/>
        </w:rPr>
        <w:t>Fator Juros:</w:t>
      </w:r>
      <w:r w:rsidRPr="00B82233">
        <w:rPr>
          <w:rFonts w:cs="Arial"/>
          <w:szCs w:val="24"/>
        </w:rPr>
        <w:t xml:space="preserve"> fator de juros apurado de acordo com a seguinte fórmula:</w:t>
      </w:r>
    </w:p>
    <w:p w14:paraId="79109C45" w14:textId="77777777" w:rsidR="003E70E1" w:rsidRPr="00B82233" w:rsidRDefault="003E70E1" w:rsidP="00F45466">
      <w:pPr>
        <w:pStyle w:val="BNDES"/>
        <w:rPr>
          <w:rFonts w:cs="Arial"/>
          <w:szCs w:val="24"/>
        </w:rPr>
      </w:pPr>
    </w:p>
    <w:p w14:paraId="0D47F39D" w14:textId="77777777" w:rsidR="00F45466" w:rsidRPr="00B82233" w:rsidRDefault="00F45466" w:rsidP="003E41AE">
      <w:pPr>
        <w:pStyle w:val="BNDES"/>
        <w:jc w:val="center"/>
        <w:rPr>
          <w:rFonts w:cs="Arial"/>
          <w:szCs w:val="24"/>
        </w:rPr>
      </w:pPr>
      <w:r w:rsidRPr="00B82233">
        <w:rPr>
          <w:rFonts w:cs="Arial"/>
          <w:szCs w:val="24"/>
        </w:rPr>
        <w:t>FatorJuros = (FatorTLP x FatorSpread)</w:t>
      </w:r>
    </w:p>
    <w:p w14:paraId="1C597AEB" w14:textId="77777777" w:rsidR="00F45466" w:rsidRPr="00B82233" w:rsidRDefault="00F45466" w:rsidP="00F45466">
      <w:pPr>
        <w:pStyle w:val="BNDES"/>
        <w:rPr>
          <w:rFonts w:cs="Arial"/>
          <w:szCs w:val="24"/>
        </w:rPr>
      </w:pPr>
    </w:p>
    <w:p w14:paraId="2FCD5BA5" w14:textId="77777777" w:rsidR="00F45466" w:rsidRPr="00B82233" w:rsidRDefault="00F45466" w:rsidP="00F45466">
      <w:pPr>
        <w:pStyle w:val="BNDES"/>
        <w:rPr>
          <w:rFonts w:cs="Arial"/>
          <w:szCs w:val="24"/>
        </w:rPr>
      </w:pPr>
      <w:r w:rsidRPr="00B82233">
        <w:rPr>
          <w:rFonts w:cs="Arial"/>
          <w:szCs w:val="24"/>
        </w:rPr>
        <w:t>Onde:</w:t>
      </w:r>
    </w:p>
    <w:p w14:paraId="74418D59" w14:textId="77777777" w:rsidR="00F45466" w:rsidRPr="00B82233" w:rsidRDefault="00F45466" w:rsidP="00F45466">
      <w:pPr>
        <w:pStyle w:val="BNDES"/>
        <w:rPr>
          <w:rFonts w:cs="Arial"/>
          <w:szCs w:val="24"/>
        </w:rPr>
      </w:pPr>
      <w:r w:rsidRPr="00B82233">
        <w:rPr>
          <w:rFonts w:cs="Arial"/>
          <w:b/>
          <w:szCs w:val="24"/>
        </w:rPr>
        <w:t>Fator TLP:</w:t>
      </w:r>
      <w:r w:rsidRPr="00B82233">
        <w:rPr>
          <w:rFonts w:cs="Arial"/>
          <w:szCs w:val="24"/>
        </w:rPr>
        <w:t xml:space="preserve"> correspondente ao fator acumulado das variações percentuais mensais do IPCA composto com a taxa de juros prefixada (J), apurado da seguinte forma:</w:t>
      </w:r>
    </w:p>
    <w:p w14:paraId="11D88952" w14:textId="77777777" w:rsidR="00F45466" w:rsidRPr="00B82233" w:rsidRDefault="00F45466" w:rsidP="00F45466">
      <w:pPr>
        <w:pStyle w:val="BNDES"/>
        <w:rPr>
          <w:rFonts w:cs="Arial"/>
          <w:szCs w:val="24"/>
        </w:rPr>
      </w:pPr>
    </w:p>
    <w:p w14:paraId="3B18B72D" w14:textId="3F83612D" w:rsidR="00F45466" w:rsidRPr="00B82233" w:rsidRDefault="00F45466" w:rsidP="00F45466">
      <w:pPr>
        <w:pStyle w:val="BNDES"/>
        <w:rPr>
          <w:rFonts w:cs="Arial"/>
          <w:szCs w:val="24"/>
        </w:rPr>
      </w:pPr>
      <w:r w:rsidRPr="00B82233">
        <w:rPr>
          <w:rFonts w:cs="Arial"/>
          <w:szCs w:val="24"/>
        </w:rPr>
        <w:t xml:space="preserve"> </w:t>
      </w:r>
      <m:oMath>
        <m:r>
          <w:rPr>
            <w:rFonts w:ascii="Cambria Math" w:hAnsi="Cambria Math" w:cs="Arial"/>
            <w:color w:val="000000"/>
            <w:szCs w:val="24"/>
          </w:rPr>
          <m:t>FatorTLP=</m:t>
        </m:r>
        <m:d>
          <m:dPr>
            <m:begChr m:val="["/>
            <m:endChr m:val="]"/>
            <m:ctrlPr>
              <w:rPr>
                <w:rFonts w:ascii="Cambria Math" w:hAnsi="Cambria Math" w:cs="Arial"/>
                <w:i/>
                <w:color w:val="000000"/>
                <w:szCs w:val="24"/>
              </w:rPr>
            </m:ctrlPr>
          </m:dPr>
          <m:e>
            <m:nary>
              <m:naryPr>
                <m:chr m:val="∏"/>
                <m:limLoc m:val="undOvr"/>
                <m:ctrlPr>
                  <w:rPr>
                    <w:rFonts w:ascii="Cambria Math" w:hAnsi="Cambria Math" w:cs="Arial"/>
                    <w:i/>
                    <w:color w:val="000000"/>
                    <w:szCs w:val="24"/>
                  </w:rPr>
                </m:ctrlPr>
              </m:naryPr>
              <m:sub>
                <m:r>
                  <w:rPr>
                    <w:rFonts w:ascii="Cambria Math" w:hAnsi="Cambria Math" w:cs="Arial"/>
                    <w:color w:val="000000"/>
                    <w:szCs w:val="24"/>
                  </w:rPr>
                  <m:t>i=1</m:t>
                </m:r>
              </m:sub>
              <m:sup>
                <m:r>
                  <w:rPr>
                    <w:rFonts w:ascii="Cambria Math" w:hAnsi="Cambria Math" w:cs="Arial"/>
                    <w:color w:val="000000"/>
                    <w:szCs w:val="24"/>
                  </w:rPr>
                  <m:t>i=n</m:t>
                </m:r>
              </m:sup>
              <m:e>
                <m:sSup>
                  <m:sSupPr>
                    <m:ctrlPr>
                      <w:rPr>
                        <w:rFonts w:ascii="Cambria Math" w:hAnsi="Cambria Math" w:cs="Arial"/>
                        <w:i/>
                        <w:color w:val="000000"/>
                        <w:szCs w:val="24"/>
                      </w:rPr>
                    </m:ctrlPr>
                  </m:sSupPr>
                  <m:e>
                    <m:d>
                      <m:dPr>
                        <m:ctrlPr>
                          <w:rPr>
                            <w:rFonts w:ascii="Cambria Math" w:hAnsi="Cambria Math" w:cs="Arial"/>
                            <w:i/>
                            <w:color w:val="000000"/>
                            <w:szCs w:val="24"/>
                          </w:rPr>
                        </m:ctrlPr>
                      </m:dPr>
                      <m:e>
                        <m:r>
                          <w:rPr>
                            <w:rFonts w:ascii="Cambria Math" w:hAnsi="Cambria Math" w:cs="Arial"/>
                            <w:color w:val="000000"/>
                            <w:szCs w:val="24"/>
                          </w:rPr>
                          <m:t>1+</m:t>
                        </m:r>
                        <m:sSub>
                          <m:sSubPr>
                            <m:ctrlPr>
                              <w:rPr>
                                <w:rFonts w:ascii="Cambria Math" w:hAnsi="Cambria Math" w:cs="Arial"/>
                                <w:i/>
                                <w:color w:val="000000"/>
                                <w:szCs w:val="24"/>
                              </w:rPr>
                            </m:ctrlPr>
                          </m:sSubPr>
                          <m:e>
                            <m:r>
                              <w:rPr>
                                <w:rFonts w:ascii="Cambria Math" w:hAnsi="Cambria Math" w:cs="Arial"/>
                                <w:color w:val="000000"/>
                                <w:szCs w:val="24"/>
                              </w:rPr>
                              <m:t>π</m:t>
                            </m:r>
                          </m:e>
                          <m:sub>
                            <m:r>
                              <w:rPr>
                                <w:rFonts w:ascii="Cambria Math" w:hAnsi="Cambria Math" w:cs="Arial"/>
                                <w:color w:val="000000"/>
                                <w:szCs w:val="24"/>
                              </w:rPr>
                              <m:t>i</m:t>
                            </m:r>
                          </m:sub>
                        </m:sSub>
                      </m:e>
                    </m:d>
                  </m:e>
                  <m:sup>
                    <m:f>
                      <m:fPr>
                        <m:ctrlPr>
                          <w:rPr>
                            <w:rFonts w:ascii="Cambria Math" w:hAnsi="Cambria Math" w:cs="Arial"/>
                            <w:i/>
                            <w:color w:val="000000"/>
                            <w:szCs w:val="24"/>
                          </w:rPr>
                        </m:ctrlPr>
                      </m:fPr>
                      <m:num>
                        <m:r>
                          <w:rPr>
                            <w:rFonts w:ascii="Cambria Math" w:hAnsi="Cambria Math" w:cs="Arial"/>
                            <w:color w:val="000000"/>
                            <w:szCs w:val="24"/>
                          </w:rPr>
                          <m:t>dup</m:t>
                        </m:r>
                      </m:num>
                      <m:den>
                        <m:r>
                          <w:rPr>
                            <w:rFonts w:ascii="Cambria Math" w:hAnsi="Cambria Math" w:cs="Arial"/>
                            <w:color w:val="000000"/>
                            <w:szCs w:val="24"/>
                          </w:rPr>
                          <m:t>dut</m:t>
                        </m:r>
                      </m:den>
                    </m:f>
                  </m:sup>
                </m:sSup>
              </m:e>
            </m:nary>
            <m:r>
              <w:rPr>
                <w:rFonts w:ascii="Cambria Math" w:hAnsi="Cambria Math" w:cs="Arial"/>
                <w:color w:val="000000"/>
                <w:szCs w:val="24"/>
              </w:rPr>
              <m:t xml:space="preserve"> </m:t>
            </m:r>
          </m:e>
        </m:d>
        <m:r>
          <w:rPr>
            <w:rFonts w:ascii="Cambria Math" w:hAnsi="Cambria Math" w:cs="Arial"/>
            <w:color w:val="000000"/>
            <w:szCs w:val="24"/>
          </w:rPr>
          <m:t xml:space="preserve"> </m:t>
        </m:r>
        <m:sSup>
          <m:sSupPr>
            <m:ctrlPr>
              <w:rPr>
                <w:rFonts w:ascii="Cambria Math" w:hAnsi="Cambria Math" w:cs="Arial"/>
                <w:i/>
                <w:color w:val="000000"/>
                <w:szCs w:val="24"/>
              </w:rPr>
            </m:ctrlPr>
          </m:sSupPr>
          <m:e>
            <m:r>
              <w:rPr>
                <w:rFonts w:ascii="Cambria Math" w:hAnsi="Cambria Math" w:cs="Arial"/>
                <w:color w:val="000000"/>
                <w:szCs w:val="24"/>
              </w:rPr>
              <m:t xml:space="preserve">x </m:t>
            </m:r>
            <m:d>
              <m:dPr>
                <m:ctrlPr>
                  <w:rPr>
                    <w:rFonts w:ascii="Cambria Math" w:hAnsi="Cambria Math" w:cs="Arial"/>
                    <w:i/>
                    <w:color w:val="000000"/>
                    <w:szCs w:val="24"/>
                  </w:rPr>
                </m:ctrlPr>
              </m:dPr>
              <m:e>
                <m:r>
                  <w:rPr>
                    <w:rFonts w:ascii="Cambria Math" w:hAnsi="Cambria Math" w:cs="Arial"/>
                    <w:color w:val="000000"/>
                    <w:szCs w:val="24"/>
                  </w:rPr>
                  <m:t>1+</m:t>
                </m:r>
                <m:r>
                  <m:rPr>
                    <m:sty m:val="p"/>
                  </m:rPr>
                  <w:rPr>
                    <w:rFonts w:ascii="Cambria Math" w:hAnsi="Cambria Math" w:cs="Arial"/>
                    <w:color w:val="000000"/>
                    <w:szCs w:val="24"/>
                  </w:rPr>
                  <m:t>J</m:t>
                </m:r>
              </m:e>
            </m:d>
          </m:e>
          <m:sup>
            <m:f>
              <m:fPr>
                <m:ctrlPr>
                  <w:rPr>
                    <w:rFonts w:ascii="Cambria Math" w:hAnsi="Cambria Math" w:cs="Arial"/>
                    <w:i/>
                    <w:color w:val="000000"/>
                    <w:szCs w:val="24"/>
                  </w:rPr>
                </m:ctrlPr>
              </m:fPr>
              <m:num>
                <m:r>
                  <w:rPr>
                    <w:rFonts w:ascii="Cambria Math" w:hAnsi="Cambria Math" w:cs="Arial"/>
                    <w:color w:val="000000"/>
                    <w:szCs w:val="24"/>
                  </w:rPr>
                  <m:t>du</m:t>
                </m:r>
              </m:num>
              <m:den>
                <m:r>
                  <w:rPr>
                    <w:rFonts w:ascii="Cambria Math" w:hAnsi="Cambria Math" w:cs="Arial"/>
                    <w:color w:val="000000"/>
                    <w:szCs w:val="24"/>
                  </w:rPr>
                  <m:t>252</m:t>
                </m:r>
              </m:den>
            </m:f>
          </m:sup>
        </m:sSup>
      </m:oMath>
    </w:p>
    <w:p w14:paraId="3E380F84" w14:textId="77777777" w:rsidR="00F45466" w:rsidRPr="00B82233" w:rsidRDefault="00F45466" w:rsidP="00F45466">
      <w:pPr>
        <w:pStyle w:val="BNDES"/>
        <w:rPr>
          <w:rFonts w:cs="Arial"/>
          <w:szCs w:val="24"/>
        </w:rPr>
      </w:pPr>
      <w:r w:rsidRPr="00B82233">
        <w:rPr>
          <w:rFonts w:cs="Arial"/>
          <w:szCs w:val="24"/>
        </w:rPr>
        <w:tab/>
      </w:r>
    </w:p>
    <w:p w14:paraId="07B81073" w14:textId="77777777" w:rsidR="00F45466" w:rsidRPr="00B82233" w:rsidRDefault="00F45466" w:rsidP="00F45466">
      <w:pPr>
        <w:pStyle w:val="BNDES"/>
        <w:rPr>
          <w:rFonts w:cs="Arial"/>
          <w:szCs w:val="24"/>
        </w:rPr>
      </w:pPr>
      <w:r w:rsidRPr="00B82233">
        <w:rPr>
          <w:rFonts w:cs="Arial"/>
          <w:szCs w:val="24"/>
        </w:rPr>
        <w:t>Sendo:</w:t>
      </w:r>
    </w:p>
    <w:p w14:paraId="3B5BC8EB" w14:textId="77777777" w:rsidR="00F45466" w:rsidRPr="00B82233" w:rsidRDefault="00F45466" w:rsidP="00F45466">
      <w:pPr>
        <w:pStyle w:val="BNDES"/>
        <w:rPr>
          <w:rFonts w:cs="Arial"/>
          <w:szCs w:val="24"/>
        </w:rPr>
      </w:pPr>
    </w:p>
    <w:p w14:paraId="4B37C19A" w14:textId="77777777" w:rsidR="00F45466" w:rsidRPr="00B82233" w:rsidRDefault="00F45466" w:rsidP="00F45466">
      <w:pPr>
        <w:pStyle w:val="BNDES"/>
        <w:rPr>
          <w:rFonts w:cs="Arial"/>
          <w:szCs w:val="24"/>
        </w:rPr>
      </w:pPr>
      <w:r w:rsidRPr="00B82233">
        <w:rPr>
          <w:rFonts w:cs="Arial"/>
          <w:b/>
          <w:szCs w:val="24"/>
        </w:rPr>
        <w:t>n =</w:t>
      </w:r>
      <w:r w:rsidRPr="00B82233">
        <w:rPr>
          <w:rFonts w:cs="Arial"/>
          <w:szCs w:val="24"/>
        </w:rPr>
        <w:t xml:space="preserve"> número total de índices considerados no cálculo, sendo “n” um número inteiro; </w:t>
      </w:r>
    </w:p>
    <w:p w14:paraId="350B0FCE" w14:textId="77777777" w:rsidR="003E70E1" w:rsidRPr="00B82233" w:rsidRDefault="003E70E1" w:rsidP="00F45466">
      <w:pPr>
        <w:pStyle w:val="BNDES"/>
        <w:rPr>
          <w:rFonts w:cs="Arial"/>
          <w:szCs w:val="24"/>
        </w:rPr>
      </w:pPr>
    </w:p>
    <w:p w14:paraId="046A2A08" w14:textId="577518DF" w:rsidR="00F45466" w:rsidRPr="00B82233" w:rsidRDefault="00513BEA" w:rsidP="00F45466">
      <w:pPr>
        <w:pStyle w:val="BNDES"/>
        <w:rPr>
          <w:rFonts w:cs="Arial"/>
          <w:szCs w:val="24"/>
        </w:rPr>
      </w:pPr>
      <m:oMath>
        <m:sSub>
          <m:sSubPr>
            <m:ctrlPr>
              <w:rPr>
                <w:rFonts w:ascii="Cambria Math" w:hAnsi="Cambria Math" w:cs="Arial"/>
                <w:i/>
                <w:color w:val="000000"/>
                <w:szCs w:val="24"/>
              </w:rPr>
            </m:ctrlPr>
          </m:sSubPr>
          <m:e>
            <m:r>
              <w:rPr>
                <w:rFonts w:ascii="Cambria Math" w:hAnsi="Cambria Math" w:cs="Arial"/>
                <w:color w:val="000000"/>
                <w:szCs w:val="24"/>
              </w:rPr>
              <m:t>π</m:t>
            </m:r>
          </m:e>
          <m:sub>
            <m:r>
              <w:rPr>
                <w:rFonts w:ascii="Cambria Math" w:hAnsi="Cambria Math" w:cs="Arial"/>
                <w:color w:val="000000"/>
                <w:szCs w:val="24"/>
              </w:rPr>
              <m:t>i</m:t>
            </m:r>
          </m:sub>
        </m:sSub>
      </m:oMath>
      <w:r w:rsidR="00F45466" w:rsidRPr="00B82233">
        <w:rPr>
          <w:rFonts w:cs="Arial"/>
          <w:b/>
          <w:szCs w:val="24"/>
        </w:rPr>
        <w:t xml:space="preserve"> =</w:t>
      </w:r>
      <w:r w:rsidR="00F45466" w:rsidRPr="00B82233">
        <w:rPr>
          <w:rFonts w:cs="Arial"/>
          <w:szCs w:val="24"/>
        </w:rPr>
        <w:t xml:space="preserve"> 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p w14:paraId="77DB205D" w14:textId="77777777" w:rsidR="003E70E1" w:rsidRPr="00B82233" w:rsidRDefault="003E70E1" w:rsidP="00F45466">
      <w:pPr>
        <w:pStyle w:val="BNDES"/>
        <w:rPr>
          <w:rFonts w:cs="Arial"/>
          <w:szCs w:val="24"/>
        </w:rPr>
      </w:pPr>
    </w:p>
    <w:p w14:paraId="2C75771D" w14:textId="77777777" w:rsidR="00F45466" w:rsidRPr="00B82233" w:rsidRDefault="00F45466" w:rsidP="00F45466">
      <w:pPr>
        <w:pStyle w:val="BNDES"/>
        <w:rPr>
          <w:rFonts w:cs="Arial"/>
          <w:szCs w:val="24"/>
        </w:rPr>
      </w:pPr>
      <w:r w:rsidRPr="00B82233">
        <w:rPr>
          <w:rFonts w:cs="Arial"/>
          <w:b/>
          <w:szCs w:val="24"/>
        </w:rPr>
        <w:t>dup =</w:t>
      </w:r>
      <w:r w:rsidRPr="00B82233">
        <w:rPr>
          <w:rFonts w:cs="Arial"/>
          <w:szCs w:val="24"/>
        </w:rPr>
        <w:tab/>
        <w:t xml:space="preserve">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 </w:t>
      </w:r>
    </w:p>
    <w:p w14:paraId="31675998" w14:textId="77777777" w:rsidR="003E70E1" w:rsidRPr="00B82233" w:rsidRDefault="003E70E1" w:rsidP="00F45466">
      <w:pPr>
        <w:pStyle w:val="BNDES"/>
        <w:rPr>
          <w:rFonts w:cs="Arial"/>
          <w:szCs w:val="24"/>
        </w:rPr>
      </w:pPr>
    </w:p>
    <w:p w14:paraId="64E4EFB0" w14:textId="77777777" w:rsidR="00F45466" w:rsidRPr="00B82233" w:rsidRDefault="00F45466" w:rsidP="00F45466">
      <w:pPr>
        <w:pStyle w:val="BNDES"/>
        <w:rPr>
          <w:rFonts w:cs="Arial"/>
          <w:szCs w:val="24"/>
        </w:rPr>
      </w:pPr>
      <w:r w:rsidRPr="00B82233">
        <w:rPr>
          <w:rFonts w:cs="Arial"/>
          <w:b/>
          <w:szCs w:val="24"/>
        </w:rPr>
        <w:t>dut =</w:t>
      </w:r>
      <w:r w:rsidRPr="00B82233">
        <w:rPr>
          <w:rFonts w:cs="Arial"/>
          <w:b/>
          <w:szCs w:val="24"/>
        </w:rPr>
        <w:tab/>
      </w:r>
      <w:r w:rsidRPr="00B82233">
        <w:rPr>
          <w:rFonts w:cs="Arial"/>
          <w:szCs w:val="24"/>
        </w:rPr>
        <w:t>número de Dias Úteis contidos entre a Data de Aniversário anterior (inclusive) e a Data de Aniversário subsequente (exclusive), sendo "dut" um número inteiro;</w:t>
      </w:r>
    </w:p>
    <w:p w14:paraId="3DCC1A1D" w14:textId="77777777" w:rsidR="003E70E1" w:rsidRPr="00B82233" w:rsidRDefault="003E70E1" w:rsidP="00F45466">
      <w:pPr>
        <w:pStyle w:val="BNDES"/>
        <w:rPr>
          <w:rFonts w:cs="Arial"/>
          <w:szCs w:val="24"/>
        </w:rPr>
      </w:pPr>
    </w:p>
    <w:p w14:paraId="5A12A8F2" w14:textId="77777777" w:rsidR="00F45466" w:rsidRPr="00B82233" w:rsidRDefault="00F45466" w:rsidP="00F45466">
      <w:pPr>
        <w:pStyle w:val="BNDES"/>
        <w:rPr>
          <w:rFonts w:cs="Arial"/>
          <w:szCs w:val="24"/>
        </w:rPr>
      </w:pPr>
      <w:r w:rsidRPr="00B82233">
        <w:rPr>
          <w:rFonts w:cs="Arial"/>
          <w:b/>
          <w:szCs w:val="24"/>
        </w:rPr>
        <w:t>J =</w:t>
      </w:r>
      <w:r w:rsidRPr="00B82233">
        <w:rPr>
          <w:rFonts w:cs="Arial"/>
          <w:szCs w:val="24"/>
        </w:rPr>
        <w:t xml:space="preserve"> corresponde à taxa de juros prefixada multiplicada pelo fator de ajuste, nos termos do art. 3º da Lei nº 13.483, de 2017, ambos apurados e divulgados pelo Banco Central do Brasil; e</w:t>
      </w:r>
    </w:p>
    <w:p w14:paraId="18E820A9" w14:textId="77777777" w:rsidR="00D86619" w:rsidRPr="00B82233" w:rsidRDefault="00D86619" w:rsidP="00F45466">
      <w:pPr>
        <w:pStyle w:val="BNDES"/>
        <w:rPr>
          <w:rFonts w:cs="Arial"/>
          <w:szCs w:val="24"/>
        </w:rPr>
      </w:pPr>
    </w:p>
    <w:p w14:paraId="1C39B795" w14:textId="77777777" w:rsidR="00F45466" w:rsidRPr="00B82233" w:rsidRDefault="00F45466" w:rsidP="00F45466">
      <w:pPr>
        <w:pStyle w:val="BNDES"/>
        <w:rPr>
          <w:rFonts w:cs="Arial"/>
          <w:szCs w:val="24"/>
        </w:rPr>
      </w:pPr>
      <w:r w:rsidRPr="00B82233">
        <w:rPr>
          <w:rFonts w:cs="Arial"/>
          <w:b/>
          <w:szCs w:val="24"/>
        </w:rPr>
        <w:t>du =</w:t>
      </w:r>
      <w:r w:rsidRPr="00B82233">
        <w:rPr>
          <w:rFonts w:cs="Arial"/>
          <w:szCs w:val="24"/>
        </w:rPr>
        <w:t xml:space="preserve"> 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6D448DD7" w14:textId="77777777" w:rsidR="00F45466" w:rsidRPr="00B82233" w:rsidRDefault="00F45466" w:rsidP="00F45466">
      <w:pPr>
        <w:pStyle w:val="BNDES"/>
        <w:rPr>
          <w:rFonts w:cs="Arial"/>
          <w:szCs w:val="24"/>
        </w:rPr>
      </w:pPr>
    </w:p>
    <w:p w14:paraId="7A027294" w14:textId="77777777" w:rsidR="00F45466" w:rsidRPr="00B82233" w:rsidRDefault="00F45466" w:rsidP="00F45466">
      <w:pPr>
        <w:pStyle w:val="BNDES"/>
        <w:rPr>
          <w:rFonts w:cs="Arial"/>
          <w:szCs w:val="24"/>
        </w:rPr>
      </w:pPr>
      <w:r w:rsidRPr="00B82233">
        <w:rPr>
          <w:rFonts w:cs="Arial"/>
          <w:b/>
          <w:szCs w:val="24"/>
        </w:rPr>
        <w:lastRenderedPageBreak/>
        <w:t>Fator Spread:</w:t>
      </w:r>
      <w:r w:rsidRPr="00B82233">
        <w:rPr>
          <w:rFonts w:cs="Arial"/>
          <w:szCs w:val="24"/>
        </w:rPr>
        <w:t xml:space="preserve"> corresponde ao spread do BNDES composto com o spread d</w:t>
      </w:r>
      <w:r w:rsidR="00D257B4" w:rsidRPr="00B82233">
        <w:rPr>
          <w:rFonts w:cs="Arial"/>
          <w:szCs w:val="24"/>
        </w:rPr>
        <w:t>a</w:t>
      </w:r>
      <w:r w:rsidRPr="00B82233">
        <w:rPr>
          <w:rFonts w:cs="Arial"/>
          <w:szCs w:val="24"/>
        </w:rPr>
        <w:t xml:space="preserve"> </w:t>
      </w:r>
      <w:r w:rsidR="00D257B4" w:rsidRPr="00B82233">
        <w:rPr>
          <w:rFonts w:cs="Arial"/>
          <w:szCs w:val="24"/>
        </w:rPr>
        <w:t>Instituição Financeira Credenciada</w:t>
      </w:r>
      <w:r w:rsidRPr="00B82233">
        <w:rPr>
          <w:rFonts w:cs="Arial"/>
          <w:szCs w:val="24"/>
        </w:rPr>
        <w:t>, conforme fórmula abaixo:</w:t>
      </w:r>
    </w:p>
    <w:p w14:paraId="4AF2932C" w14:textId="77777777" w:rsidR="00F45466" w:rsidRPr="00B82233" w:rsidRDefault="00F45466" w:rsidP="00F45466">
      <w:pPr>
        <w:pStyle w:val="BNDES"/>
        <w:rPr>
          <w:rFonts w:cs="Arial"/>
          <w:szCs w:val="24"/>
        </w:rPr>
      </w:pPr>
    </w:p>
    <w:p w14:paraId="5704DF1E" w14:textId="77777777" w:rsidR="009568E8" w:rsidRPr="001A66E4" w:rsidRDefault="009568E8" w:rsidP="00F45466">
      <w:pPr>
        <w:pStyle w:val="BNDES"/>
        <w:rPr>
          <w:rFonts w:cs="Arial"/>
          <w:sz w:val="22"/>
          <w:szCs w:val="22"/>
        </w:rPr>
      </w:pPr>
      <m:oMathPara>
        <m:oMathParaPr>
          <m:jc m:val="centerGroup"/>
        </m:oMathParaPr>
        <m:oMath>
          <m:r>
            <w:rPr>
              <w:rFonts w:ascii="Cambria Math" w:hAnsi="Cambria Math" w:cs="Arial"/>
              <w:color w:val="000000"/>
              <w:kern w:val="24"/>
              <w:szCs w:val="24"/>
            </w:rPr>
            <m:t>Fator</m:t>
          </m:r>
          <m:r>
            <w:rPr>
              <w:rFonts w:ascii="Cambria Math" w:hAnsi="Cambria Math" w:cs="Arial" w:hint="eastAsia"/>
              <w:color w:val="000000"/>
              <w:kern w:val="24"/>
              <w:szCs w:val="24"/>
            </w:rPr>
            <m:t> </m:t>
          </m:r>
          <m:r>
            <w:rPr>
              <w:rFonts w:ascii="Cambria Math" w:hAnsi="Cambria Math" w:cs="Arial"/>
              <w:color w:val="000000"/>
              <w:kern w:val="24"/>
              <w:szCs w:val="24"/>
            </w:rPr>
            <m:t>Spread=</m:t>
          </m:r>
          <m:sSup>
            <m:sSupPr>
              <m:ctrlPr>
                <w:rPr>
                  <w:rFonts w:ascii="Cambria Math" w:hAnsi="Cambria Math" w:cs="Arial"/>
                  <w:i/>
                  <w:iCs/>
                  <w:color w:val="000000"/>
                  <w:kern w:val="24"/>
                  <w:szCs w:val="24"/>
                </w:rPr>
              </m:ctrlPr>
            </m:sSupPr>
            <m:e>
              <m:d>
                <m:dPr>
                  <m:ctrlPr>
                    <w:rPr>
                      <w:rFonts w:ascii="Cambria Math" w:hAnsi="Cambria Math" w:cs="Arial"/>
                      <w:i/>
                      <w:iCs/>
                      <w:color w:val="000000"/>
                      <w:kern w:val="24"/>
                      <w:szCs w:val="24"/>
                    </w:rPr>
                  </m:ctrlPr>
                </m:dPr>
                <m:e>
                  <m:r>
                    <w:rPr>
                      <w:rFonts w:ascii="Cambria Math" w:hAnsi="Cambria Math"/>
                      <w:color w:val="000000"/>
                      <w:kern w:val="24"/>
                      <w:sz w:val="22"/>
                      <w:szCs w:val="22"/>
                    </w:rPr>
                    <m:t>1+Spread</m:t>
                  </m:r>
                  <m:r>
                    <w:rPr>
                      <w:rFonts w:ascii="Cambria Math" w:hAnsi="Cambria Math" w:hint="eastAsia"/>
                      <w:color w:val="000000"/>
                      <w:kern w:val="24"/>
                      <w:sz w:val="22"/>
                      <w:szCs w:val="22"/>
                    </w:rPr>
                    <m:t> </m:t>
                  </m:r>
                  <m:r>
                    <w:rPr>
                      <w:rFonts w:ascii="Cambria Math" w:hAnsi="Cambria Math"/>
                      <w:color w:val="000000"/>
                      <w:kern w:val="24"/>
                      <w:sz w:val="22"/>
                      <w:szCs w:val="22"/>
                    </w:rPr>
                    <m:t>BNDES</m:t>
                  </m:r>
                </m:e>
              </m:d>
            </m:e>
            <m:sup>
              <m:f>
                <m:fPr>
                  <m:ctrlPr>
                    <w:rPr>
                      <w:rFonts w:ascii="Cambria Math" w:hAnsi="Cambria Math" w:cs="Arial"/>
                      <w:i/>
                      <w:iCs/>
                      <w:color w:val="000000"/>
                      <w:kern w:val="24"/>
                      <w:szCs w:val="24"/>
                    </w:rPr>
                  </m:ctrlPr>
                </m:fPr>
                <m:num>
                  <m:r>
                    <w:rPr>
                      <w:rFonts w:ascii="Cambria Math" w:hAnsi="Cambria Math"/>
                      <w:color w:val="000000"/>
                      <w:kern w:val="24"/>
                      <w:sz w:val="22"/>
                      <w:szCs w:val="22"/>
                    </w:rPr>
                    <m:t>du</m:t>
                  </m:r>
                </m:num>
                <m:den>
                  <m:r>
                    <w:rPr>
                      <w:rFonts w:ascii="Cambria Math" w:hAnsi="Cambria Math"/>
                      <w:color w:val="000000"/>
                      <w:kern w:val="24"/>
                      <w:sz w:val="22"/>
                      <w:szCs w:val="22"/>
                    </w:rPr>
                    <m:t>252</m:t>
                  </m:r>
                </m:den>
              </m:f>
            </m:sup>
          </m:sSup>
          <m:r>
            <w:rPr>
              <w:rFonts w:ascii="Cambria Math" w:hAnsi="Cambria Math" w:hint="eastAsia"/>
              <w:color w:val="000000"/>
              <w:kern w:val="24"/>
              <w:sz w:val="22"/>
              <w:szCs w:val="22"/>
            </w:rPr>
            <m:t>  </m:t>
          </m:r>
          <m:r>
            <w:rPr>
              <w:rFonts w:ascii="Cambria Math" w:hAnsi="Cambria Math"/>
              <w:color w:val="000000"/>
              <w:kern w:val="24"/>
              <w:sz w:val="22"/>
              <w:szCs w:val="22"/>
            </w:rPr>
            <m:t>x</m:t>
          </m:r>
          <m:r>
            <w:rPr>
              <w:rFonts w:ascii="Cambria Math" w:hAnsi="Cambria Math" w:hint="eastAsia"/>
              <w:color w:val="000000"/>
              <w:kern w:val="24"/>
              <w:sz w:val="22"/>
              <w:szCs w:val="22"/>
            </w:rPr>
            <m:t>  </m:t>
          </m:r>
          <m:sSup>
            <m:sSupPr>
              <m:ctrlPr>
                <w:rPr>
                  <w:rFonts w:ascii="Cambria Math" w:hAnsi="Cambria Math" w:cs="Arial"/>
                  <w:i/>
                  <w:iCs/>
                  <w:color w:val="000000"/>
                  <w:kern w:val="24"/>
                  <w:szCs w:val="24"/>
                </w:rPr>
              </m:ctrlPr>
            </m:sSupPr>
            <m:e>
              <m:d>
                <m:dPr>
                  <m:ctrlPr>
                    <w:rPr>
                      <w:rFonts w:ascii="Cambria Math" w:hAnsi="Cambria Math" w:cs="Arial"/>
                      <w:i/>
                      <w:iCs/>
                      <w:color w:val="000000"/>
                      <w:kern w:val="24"/>
                      <w:szCs w:val="24"/>
                    </w:rPr>
                  </m:ctrlPr>
                </m:dPr>
                <m:e>
                  <m:r>
                    <w:rPr>
                      <w:rFonts w:ascii="Cambria Math" w:hAnsi="Cambria Math"/>
                      <w:color w:val="000000"/>
                      <w:kern w:val="24"/>
                      <w:sz w:val="22"/>
                      <w:szCs w:val="22"/>
                    </w:rPr>
                    <m:t>1+Spread</m:t>
                  </m:r>
                  <m:r>
                    <w:rPr>
                      <w:rFonts w:ascii="Cambria Math" w:hAnsi="Cambria Math" w:hint="eastAsia"/>
                      <w:color w:val="000000"/>
                      <w:kern w:val="24"/>
                      <w:sz w:val="22"/>
                      <w:szCs w:val="22"/>
                    </w:rPr>
                    <m:t> </m:t>
                  </m:r>
                  <m:r>
                    <w:rPr>
                      <w:rFonts w:ascii="Cambria Math" w:hAnsi="Cambria Math"/>
                      <w:color w:val="000000"/>
                      <w:kern w:val="24"/>
                      <w:sz w:val="22"/>
                      <w:szCs w:val="22"/>
                    </w:rPr>
                    <m:t>Institui</m:t>
                  </m:r>
                  <m:r>
                    <w:rPr>
                      <w:rFonts w:ascii="Cambria Math" w:hAnsi="Cambria Math" w:hint="eastAsia"/>
                      <w:color w:val="000000"/>
                      <w:kern w:val="24"/>
                      <w:sz w:val="22"/>
                      <w:szCs w:val="22"/>
                    </w:rPr>
                    <m:t>çã</m:t>
                  </m:r>
                  <m:r>
                    <w:rPr>
                      <w:rFonts w:ascii="Cambria Math" w:hAnsi="Cambria Math"/>
                      <w:color w:val="000000"/>
                      <w:kern w:val="24"/>
                      <w:sz w:val="22"/>
                      <w:szCs w:val="22"/>
                    </w:rPr>
                    <m:t>o</m:t>
                  </m:r>
                  <m:r>
                    <w:rPr>
                      <w:rFonts w:ascii="Cambria Math" w:hAnsi="Cambria Math" w:hint="eastAsia"/>
                      <w:color w:val="000000"/>
                      <w:kern w:val="24"/>
                      <w:sz w:val="22"/>
                      <w:szCs w:val="22"/>
                    </w:rPr>
                    <m:t> </m:t>
                  </m:r>
                  <m:r>
                    <w:rPr>
                      <w:rFonts w:ascii="Cambria Math" w:hAnsi="Cambria Math"/>
                      <w:color w:val="000000"/>
                      <w:kern w:val="24"/>
                      <w:sz w:val="22"/>
                      <w:szCs w:val="22"/>
                    </w:rPr>
                    <m:t>Financeira</m:t>
                  </m:r>
                  <m:r>
                    <w:rPr>
                      <w:rFonts w:ascii="Cambria Math" w:hAnsi="Cambria Math" w:hint="eastAsia"/>
                      <w:color w:val="000000"/>
                      <w:kern w:val="24"/>
                      <w:sz w:val="22"/>
                      <w:szCs w:val="22"/>
                    </w:rPr>
                    <m:t> </m:t>
                  </m:r>
                  <m:r>
                    <w:rPr>
                      <w:rFonts w:ascii="Cambria Math" w:hAnsi="Cambria Math"/>
                      <w:color w:val="000000"/>
                      <w:kern w:val="24"/>
                      <w:sz w:val="22"/>
                      <w:szCs w:val="22"/>
                    </w:rPr>
                    <m:t>Credenciada</m:t>
                  </m:r>
                </m:e>
              </m:d>
            </m:e>
            <m:sup>
              <m:f>
                <m:fPr>
                  <m:ctrlPr>
                    <w:rPr>
                      <w:rFonts w:ascii="Cambria Math" w:hAnsi="Cambria Math" w:cs="Arial"/>
                      <w:i/>
                      <w:iCs/>
                      <w:color w:val="000000"/>
                      <w:kern w:val="24"/>
                      <w:szCs w:val="24"/>
                    </w:rPr>
                  </m:ctrlPr>
                </m:fPr>
                <m:num>
                  <m:r>
                    <w:rPr>
                      <w:rFonts w:ascii="Cambria Math" w:hAnsi="Cambria Math"/>
                      <w:color w:val="000000"/>
                      <w:kern w:val="24"/>
                      <w:sz w:val="22"/>
                      <w:szCs w:val="22"/>
                    </w:rPr>
                    <m:t>du</m:t>
                  </m:r>
                </m:num>
                <m:den>
                  <m:r>
                    <w:rPr>
                      <w:rFonts w:ascii="Cambria Math" w:hAnsi="Cambria Math"/>
                      <w:color w:val="000000"/>
                      <w:kern w:val="24"/>
                      <w:sz w:val="22"/>
                      <w:szCs w:val="22"/>
                    </w:rPr>
                    <m:t>252</m:t>
                  </m:r>
                </m:den>
              </m:f>
            </m:sup>
          </m:sSup>
        </m:oMath>
      </m:oMathPara>
    </w:p>
    <w:p w14:paraId="70F05D75" w14:textId="77777777" w:rsidR="009568E8" w:rsidRPr="001A66E4" w:rsidRDefault="009568E8" w:rsidP="00F45466">
      <w:pPr>
        <w:pStyle w:val="BNDES"/>
        <w:rPr>
          <w:rFonts w:cs="Arial"/>
          <w:sz w:val="22"/>
          <w:szCs w:val="22"/>
        </w:rPr>
      </w:pPr>
    </w:p>
    <w:p w14:paraId="503E505B" w14:textId="77777777" w:rsidR="00F45466" w:rsidRPr="001A66E4" w:rsidRDefault="00F45466" w:rsidP="00F45466">
      <w:pPr>
        <w:pStyle w:val="BNDES"/>
        <w:rPr>
          <w:rFonts w:cs="Arial"/>
          <w:sz w:val="22"/>
          <w:szCs w:val="22"/>
        </w:rPr>
      </w:pPr>
      <w:r w:rsidRPr="001A66E4">
        <w:rPr>
          <w:rFonts w:cs="Arial"/>
          <w:sz w:val="22"/>
          <w:szCs w:val="22"/>
        </w:rPr>
        <w:t>Sendo:</w:t>
      </w:r>
    </w:p>
    <w:p w14:paraId="019DA0D5" w14:textId="77777777" w:rsidR="00F70D3C" w:rsidRPr="001A66E4" w:rsidRDefault="00F70D3C" w:rsidP="00F45466">
      <w:pPr>
        <w:pStyle w:val="BNDES"/>
        <w:rPr>
          <w:rFonts w:cs="Arial"/>
          <w:sz w:val="22"/>
          <w:szCs w:val="22"/>
        </w:rPr>
      </w:pPr>
    </w:p>
    <w:p w14:paraId="172FC2D4" w14:textId="77777777" w:rsidR="00F45466" w:rsidRPr="001A66E4" w:rsidRDefault="00F45466" w:rsidP="00F45466">
      <w:pPr>
        <w:pStyle w:val="BNDES"/>
        <w:rPr>
          <w:rFonts w:cs="Arial"/>
          <w:sz w:val="22"/>
          <w:szCs w:val="22"/>
        </w:rPr>
      </w:pPr>
      <w:r w:rsidRPr="001A66E4">
        <w:rPr>
          <w:b/>
          <w:sz w:val="22"/>
        </w:rPr>
        <w:t>du =</w:t>
      </w:r>
      <w:r w:rsidRPr="001A66E4">
        <w:rPr>
          <w:rFonts w:cs="Arial"/>
          <w:sz w:val="22"/>
          <w:szCs w:val="22"/>
        </w:rPr>
        <w:t xml:space="preserve"> 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1E520261" w14:textId="77777777" w:rsidR="00F70D3C" w:rsidRPr="001A66E4" w:rsidRDefault="00F70D3C" w:rsidP="00F45466">
      <w:pPr>
        <w:pStyle w:val="BNDES"/>
        <w:rPr>
          <w:rFonts w:cs="Arial"/>
          <w:sz w:val="22"/>
          <w:szCs w:val="22"/>
        </w:rPr>
      </w:pPr>
    </w:p>
    <w:p w14:paraId="4B320D88" w14:textId="4B9BF7A4" w:rsidR="00F45466" w:rsidRPr="001A66E4" w:rsidRDefault="00F45466" w:rsidP="00F45466">
      <w:pPr>
        <w:pStyle w:val="BNDES"/>
        <w:rPr>
          <w:rFonts w:cs="Arial"/>
          <w:sz w:val="22"/>
          <w:szCs w:val="22"/>
        </w:rPr>
      </w:pPr>
      <w:r w:rsidRPr="001A66E4">
        <w:rPr>
          <w:b/>
          <w:sz w:val="22"/>
        </w:rPr>
        <w:t xml:space="preserve">Spread </w:t>
      </w:r>
      <w:r w:rsidR="00660750" w:rsidRPr="001A66E4">
        <w:rPr>
          <w:rFonts w:cs="Arial"/>
          <w:b/>
          <w:sz w:val="22"/>
          <w:szCs w:val="22"/>
        </w:rPr>
        <w:t xml:space="preserve">da </w:t>
      </w:r>
      <w:r w:rsidR="00C42D0E" w:rsidRPr="001A66E4">
        <w:rPr>
          <w:rFonts w:cs="Arial"/>
          <w:b/>
          <w:sz w:val="22"/>
          <w:szCs w:val="22"/>
        </w:rPr>
        <w:t>Instituição Financeira Credenciada</w:t>
      </w:r>
      <w:r w:rsidRPr="001A66E4">
        <w:rPr>
          <w:b/>
          <w:sz w:val="22"/>
        </w:rPr>
        <w:t xml:space="preserve"> =</w:t>
      </w:r>
      <w:r w:rsidRPr="001A66E4">
        <w:rPr>
          <w:rFonts w:cs="Arial"/>
          <w:sz w:val="22"/>
          <w:szCs w:val="22"/>
        </w:rPr>
        <w:t xml:space="preserve"> corresponde ao spread </w:t>
      </w:r>
      <w:r w:rsidR="00660750" w:rsidRPr="001A66E4">
        <w:rPr>
          <w:rFonts w:cs="Arial"/>
          <w:sz w:val="22"/>
          <w:szCs w:val="22"/>
        </w:rPr>
        <w:t>da Instituição Financeira Credenciada</w:t>
      </w:r>
      <w:r w:rsidRPr="001A66E4">
        <w:rPr>
          <w:rFonts w:cs="Arial"/>
          <w:sz w:val="22"/>
          <w:szCs w:val="22"/>
        </w:rPr>
        <w:t xml:space="preserve">, negociado com </w:t>
      </w:r>
      <w:r w:rsidR="0080070D">
        <w:rPr>
          <w:rFonts w:cs="Arial"/>
          <w:sz w:val="22"/>
          <w:szCs w:val="22"/>
        </w:rPr>
        <w:t>o</w:t>
      </w:r>
      <w:r w:rsidRPr="001A66E4">
        <w:rPr>
          <w:rFonts w:cs="Arial"/>
          <w:sz w:val="22"/>
          <w:szCs w:val="22"/>
        </w:rPr>
        <w:t xml:space="preserve"> </w:t>
      </w:r>
      <w:r w:rsidR="004C5446">
        <w:rPr>
          <w:rFonts w:cs="Arial"/>
          <w:sz w:val="22"/>
          <w:szCs w:val="22"/>
        </w:rPr>
        <w:t>Cliente</w:t>
      </w:r>
      <w:r w:rsidRPr="001A66E4">
        <w:rPr>
          <w:rFonts w:cs="Arial"/>
          <w:sz w:val="22"/>
          <w:szCs w:val="22"/>
        </w:rPr>
        <w:t>.</w:t>
      </w:r>
    </w:p>
    <w:p w14:paraId="5A3DE4C5" w14:textId="77777777" w:rsidR="00F45466" w:rsidRPr="001A66E4" w:rsidRDefault="00F45466" w:rsidP="00F45466">
      <w:pPr>
        <w:pStyle w:val="BNDES"/>
        <w:rPr>
          <w:rFonts w:cs="Arial"/>
          <w:sz w:val="22"/>
          <w:szCs w:val="22"/>
        </w:rPr>
      </w:pPr>
    </w:p>
    <w:p w14:paraId="137E514E" w14:textId="77777777" w:rsidR="00F45466" w:rsidRPr="001A66E4" w:rsidRDefault="00F45466" w:rsidP="00F45466">
      <w:pPr>
        <w:pStyle w:val="BNDES"/>
        <w:rPr>
          <w:rFonts w:cs="Arial"/>
          <w:sz w:val="22"/>
          <w:szCs w:val="22"/>
        </w:rPr>
      </w:pPr>
      <w:r w:rsidRPr="001A66E4">
        <w:rPr>
          <w:rFonts w:cs="Arial"/>
          <w:sz w:val="22"/>
          <w:szCs w:val="22"/>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7001DAD9" w14:textId="77777777" w:rsidR="00F45466" w:rsidRPr="001A66E4" w:rsidRDefault="00F45466" w:rsidP="00F45466">
      <w:pPr>
        <w:pStyle w:val="BNDES"/>
        <w:rPr>
          <w:rFonts w:cs="Arial"/>
          <w:sz w:val="22"/>
          <w:szCs w:val="22"/>
        </w:rPr>
      </w:pPr>
    </w:p>
    <w:p w14:paraId="1235BBE8" w14:textId="77777777" w:rsidR="00F45466" w:rsidRPr="001A66E4" w:rsidRDefault="00F45466" w:rsidP="00F45466">
      <w:pPr>
        <w:pStyle w:val="BNDES"/>
        <w:rPr>
          <w:rFonts w:cs="Arial"/>
          <w:sz w:val="22"/>
          <w:szCs w:val="22"/>
        </w:rPr>
      </w:pPr>
      <w:r w:rsidRPr="001A66E4">
        <w:rPr>
          <w:rFonts w:cs="Arial"/>
          <w:sz w:val="22"/>
          <w:szCs w:val="22"/>
        </w:rPr>
        <w:t xml:space="preserve">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 </w:t>
      </w:r>
    </w:p>
    <w:p w14:paraId="32767D89" w14:textId="77777777" w:rsidR="00F45466" w:rsidRPr="001A66E4" w:rsidRDefault="00F45466" w:rsidP="00F45466">
      <w:pPr>
        <w:pStyle w:val="BNDES"/>
        <w:rPr>
          <w:rFonts w:cs="Arial"/>
          <w:sz w:val="22"/>
          <w:szCs w:val="22"/>
        </w:rPr>
      </w:pPr>
    </w:p>
    <w:p w14:paraId="06BACAD6" w14:textId="4626E174" w:rsidR="00F45466" w:rsidRPr="00B82233" w:rsidRDefault="00F45466" w:rsidP="00F45466">
      <w:pPr>
        <w:pStyle w:val="BNDES"/>
        <w:rPr>
          <w:rFonts w:cs="Arial"/>
          <w:szCs w:val="24"/>
        </w:rPr>
      </w:pPr>
      <w:r w:rsidRPr="001A66E4">
        <w:rPr>
          <w:rFonts w:cs="Arial"/>
          <w:sz w:val="22"/>
          <w:szCs w:val="22"/>
        </w:rPr>
        <w:t xml:space="preserve">O montante apurado nos termos da “Forma de Cálculo” será exigível </w:t>
      </w:r>
      <w:r w:rsidRPr="00B40377">
        <w:rPr>
          <w:rFonts w:cs="Arial"/>
          <w:sz w:val="22"/>
          <w:szCs w:val="22"/>
        </w:rPr>
        <w:t>trimestralmente/</w:t>
      </w:r>
      <w:r w:rsidRPr="00B82233">
        <w:rPr>
          <w:rFonts w:cs="Arial"/>
          <w:szCs w:val="24"/>
        </w:rPr>
        <w:t>semestralmente/anualmente (conforme o caso), durante o prazo de carência, e mensalmente/semestralmente/anualmente (conforme o caso), durante o período de amortização, juntamente com as prestações do principal, e no vencimento ou liquidação do Contrato</w:t>
      </w:r>
      <w:r w:rsidR="0038221B" w:rsidRPr="00B82233">
        <w:rPr>
          <w:rFonts w:cs="Arial"/>
          <w:szCs w:val="24"/>
        </w:rPr>
        <w:t>, observado o disposto n</w:t>
      </w:r>
      <w:r w:rsidR="006F2928">
        <w:rPr>
          <w:rFonts w:cs="Arial"/>
          <w:szCs w:val="24"/>
        </w:rPr>
        <w:t>a</w:t>
      </w:r>
      <w:r w:rsidR="0038221B" w:rsidRPr="00B82233">
        <w:rPr>
          <w:rFonts w:cs="Arial"/>
          <w:szCs w:val="24"/>
        </w:rPr>
        <w:t xml:space="preserve"> </w:t>
      </w:r>
      <w:r w:rsidR="00AD4FEA">
        <w:rPr>
          <w:rFonts w:cs="Arial"/>
          <w:szCs w:val="24"/>
        </w:rPr>
        <w:t>Cláusula</w:t>
      </w:r>
      <w:r w:rsidR="0038221B" w:rsidRPr="00B82233">
        <w:rPr>
          <w:rFonts w:cs="Arial"/>
          <w:szCs w:val="24"/>
        </w:rPr>
        <w:t xml:space="preserve"> </w:t>
      </w:r>
      <w:r w:rsidR="00C439E5" w:rsidRPr="00B82233">
        <w:rPr>
          <w:rFonts w:cs="Arial"/>
          <w:szCs w:val="24"/>
        </w:rPr>
        <w:t>“VENCIMENTO EM DIAS FERIADOS”</w:t>
      </w:r>
      <w:r w:rsidRPr="00B82233">
        <w:rPr>
          <w:rFonts w:cs="Arial"/>
          <w:szCs w:val="24"/>
        </w:rPr>
        <w:t>.</w:t>
      </w:r>
    </w:p>
    <w:p w14:paraId="470433F5" w14:textId="77777777" w:rsidR="00F45466" w:rsidRPr="00B82233" w:rsidRDefault="00F45466" w:rsidP="00F45466">
      <w:pPr>
        <w:pStyle w:val="BNDES"/>
        <w:rPr>
          <w:rFonts w:cs="Arial"/>
          <w:szCs w:val="24"/>
        </w:rPr>
      </w:pPr>
    </w:p>
    <w:p w14:paraId="074A0B09" w14:textId="77777777" w:rsidR="00F45466" w:rsidRPr="00B82233" w:rsidRDefault="00F45466" w:rsidP="00F45466">
      <w:pPr>
        <w:pStyle w:val="BNDES"/>
        <w:rPr>
          <w:rFonts w:cs="Arial"/>
          <w:szCs w:val="24"/>
        </w:rPr>
      </w:pPr>
      <w:r w:rsidRPr="00B82233">
        <w:rPr>
          <w:rFonts w:cs="Arial"/>
          <w:szCs w:val="24"/>
        </w:rPr>
        <w:t>Todos os cálculos intermediários serão realizados com 16 (dezesseis) casas decimais, sem arredondamento.</w:t>
      </w:r>
    </w:p>
    <w:p w14:paraId="3E960141" w14:textId="77777777" w:rsidR="00F45466" w:rsidRPr="00B82233" w:rsidRDefault="00F45466" w:rsidP="00F45466">
      <w:pPr>
        <w:pStyle w:val="BNDES"/>
        <w:rPr>
          <w:rFonts w:cs="Arial"/>
          <w:szCs w:val="24"/>
        </w:rPr>
      </w:pPr>
    </w:p>
    <w:p w14:paraId="1BBB022B" w14:textId="3F083DDE" w:rsidR="00F45466" w:rsidRPr="00B82233" w:rsidRDefault="00F45466" w:rsidP="00F45466">
      <w:pPr>
        <w:pStyle w:val="BNDES"/>
        <w:rPr>
          <w:rFonts w:cs="Arial"/>
          <w:szCs w:val="24"/>
        </w:rPr>
      </w:pPr>
      <w:r w:rsidRPr="00B82233">
        <w:rPr>
          <w:rFonts w:cs="Arial"/>
          <w:szCs w:val="24"/>
        </w:rPr>
        <w:t>A Data de Aniversário corresponde ao dia 15 de cada mês</w:t>
      </w:r>
      <w:r w:rsidR="00003AC6" w:rsidRPr="00B82233">
        <w:rPr>
          <w:rFonts w:cs="Arial"/>
          <w:szCs w:val="24"/>
        </w:rPr>
        <w:t>.</w:t>
      </w:r>
    </w:p>
    <w:p w14:paraId="4AF49DE1" w14:textId="77777777" w:rsidR="009D2AB4" w:rsidRPr="00B82233" w:rsidRDefault="009D2AB4" w:rsidP="00F45466">
      <w:pPr>
        <w:pStyle w:val="BNDES"/>
        <w:rPr>
          <w:rFonts w:cs="Arial"/>
          <w:szCs w:val="24"/>
        </w:rPr>
      </w:pPr>
    </w:p>
    <w:p w14:paraId="072102EA" w14:textId="47BC73B7" w:rsidR="009D2AB4" w:rsidRPr="00B82233" w:rsidRDefault="009D2AB4" w:rsidP="00B82233">
      <w:pPr>
        <w:pStyle w:val="BNDES"/>
        <w:rPr>
          <w:rFonts w:cs="Arial"/>
          <w:szCs w:val="24"/>
        </w:rPr>
      </w:pPr>
      <w:r w:rsidRPr="00B82233">
        <w:rPr>
          <w:rFonts w:cs="Arial"/>
          <w:szCs w:val="24"/>
        </w:rPr>
        <w:t>Nas hipóteses em que, na data do vencimento, o Fator Juros for inferior a 1</w:t>
      </w:r>
      <w:r w:rsidR="00AA5857" w:rsidRPr="00B82233">
        <w:rPr>
          <w:rFonts w:cs="Arial"/>
          <w:szCs w:val="24"/>
        </w:rPr>
        <w:t>, os juros negativos do período serão deduzidos da prestação e/ou do saldo principal, quando for o caso, adotando-se</w:t>
      </w:r>
      <w:r w:rsidRPr="00B82233">
        <w:rPr>
          <w:rFonts w:cs="Arial"/>
          <w:szCs w:val="24"/>
        </w:rPr>
        <w:t xml:space="preserve"> a sistemática a seguir: </w:t>
      </w:r>
    </w:p>
    <w:p w14:paraId="18796E9A" w14:textId="77777777" w:rsidR="009D2AB4" w:rsidRPr="002E7A6E" w:rsidRDefault="009D2AB4" w:rsidP="009D2AB4">
      <w:pPr>
        <w:pStyle w:val="BNDES"/>
        <w:numPr>
          <w:ilvl w:val="0"/>
          <w:numId w:val="50"/>
        </w:numPr>
        <w:spacing w:before="240" w:after="120"/>
        <w:ind w:left="1276" w:firstLine="0"/>
        <w:rPr>
          <w:rFonts w:cs="Arial"/>
          <w:color w:val="000000"/>
          <w:szCs w:val="24"/>
        </w:rPr>
      </w:pPr>
      <w:r w:rsidRPr="002E7A6E">
        <w:rPr>
          <w:rFonts w:cs="Arial"/>
          <w:color w:val="000000"/>
          <w:szCs w:val="24"/>
        </w:rPr>
        <w:t>Caso o somatório dos juros negativos com a parcela de amortização resulte em valor maior ou igual a zero, o valor dos juros negativos será deduzido do valor da prestação a ser paga no vencimento;</w:t>
      </w:r>
    </w:p>
    <w:p w14:paraId="0594C824" w14:textId="77777777" w:rsidR="009D2AB4" w:rsidRPr="002E7A6E" w:rsidRDefault="009D2AB4" w:rsidP="009D2AB4">
      <w:pPr>
        <w:pStyle w:val="BNDES"/>
        <w:numPr>
          <w:ilvl w:val="0"/>
          <w:numId w:val="50"/>
        </w:numPr>
        <w:spacing w:before="240" w:after="120"/>
        <w:ind w:left="1276" w:firstLine="0"/>
        <w:rPr>
          <w:rFonts w:cs="Arial"/>
          <w:color w:val="000000"/>
          <w:szCs w:val="24"/>
        </w:rPr>
      </w:pPr>
      <w:r w:rsidRPr="002E7A6E">
        <w:rPr>
          <w:rFonts w:cs="Arial"/>
          <w:color w:val="000000"/>
          <w:szCs w:val="24"/>
        </w:rPr>
        <w:t>Caso o somatório dos juros negativos com a parcela de amortização resulte em valor inferior a zero, não haverá cobrança no vencimento, sendo o montante líquido negativo incorporado ao saldo de principal;</w:t>
      </w:r>
    </w:p>
    <w:p w14:paraId="37CEB76A" w14:textId="77777777" w:rsidR="009D2AB4" w:rsidRPr="002E7A6E" w:rsidRDefault="009D2AB4" w:rsidP="009D2AB4">
      <w:pPr>
        <w:pStyle w:val="BNDES"/>
        <w:numPr>
          <w:ilvl w:val="0"/>
          <w:numId w:val="50"/>
        </w:numPr>
        <w:spacing w:before="240" w:after="120"/>
        <w:ind w:left="1276" w:firstLine="0"/>
        <w:rPr>
          <w:rFonts w:cs="Arial"/>
          <w:color w:val="000000"/>
          <w:szCs w:val="24"/>
        </w:rPr>
      </w:pPr>
      <w:r w:rsidRPr="002E7A6E">
        <w:rPr>
          <w:rFonts w:cs="Arial"/>
          <w:color w:val="000000"/>
          <w:szCs w:val="24"/>
        </w:rPr>
        <w:lastRenderedPageBreak/>
        <w:t>Caso a operação esteja em fase de carência, os juros negativos, sejam eles exigíveis ou capitalizáveis, serão incorporados ao saldo de principal, não havendo cobrança no vencimento;</w:t>
      </w:r>
    </w:p>
    <w:p w14:paraId="105F290A" w14:textId="72F807AC" w:rsidR="009D2AB4" w:rsidRPr="002E7A6E" w:rsidRDefault="009D2AB4" w:rsidP="009D2AB4">
      <w:pPr>
        <w:pStyle w:val="BNDES"/>
        <w:numPr>
          <w:ilvl w:val="0"/>
          <w:numId w:val="50"/>
        </w:numPr>
        <w:spacing w:before="240" w:after="120"/>
        <w:ind w:left="1276" w:firstLine="0"/>
        <w:rPr>
          <w:rFonts w:cs="Arial"/>
          <w:color w:val="000000"/>
          <w:szCs w:val="24"/>
        </w:rPr>
      </w:pPr>
      <w:r w:rsidRPr="002E7A6E">
        <w:rPr>
          <w:rFonts w:cs="Arial"/>
          <w:color w:val="000000"/>
          <w:szCs w:val="24"/>
        </w:rPr>
        <w:t xml:space="preserve">Caso o somatório dos juros negativos (i) com a parcela de amortização e (ii) com o saldo de principal resulte em valor inferior a zero, o BNDES pagará, no vencimento, o montante líquido negativo </w:t>
      </w:r>
      <w:r w:rsidR="006465B0" w:rsidRPr="00B82233">
        <w:rPr>
          <w:rFonts w:cs="Arial"/>
          <w:color w:val="000000"/>
          <w:szCs w:val="24"/>
        </w:rPr>
        <w:t>à</w:t>
      </w:r>
      <w:r w:rsidRPr="002E7A6E">
        <w:rPr>
          <w:rFonts w:cs="Arial"/>
          <w:color w:val="000000"/>
          <w:szCs w:val="24"/>
        </w:rPr>
        <w:t xml:space="preserve"> </w:t>
      </w:r>
      <w:r w:rsidR="006465B0" w:rsidRPr="00B82233">
        <w:rPr>
          <w:rFonts w:cs="Arial"/>
          <w:color w:val="000000"/>
          <w:szCs w:val="24"/>
        </w:rPr>
        <w:t>INSTITUIÇÃO</w:t>
      </w:r>
      <w:r w:rsidRPr="002E7A6E">
        <w:rPr>
          <w:rFonts w:cs="Arial"/>
          <w:color w:val="000000"/>
          <w:szCs w:val="24"/>
        </w:rPr>
        <w:t xml:space="preserve"> FINANCEIR</w:t>
      </w:r>
      <w:r w:rsidR="006465B0" w:rsidRPr="00B82233">
        <w:rPr>
          <w:rFonts w:cs="Arial"/>
          <w:color w:val="000000"/>
          <w:szCs w:val="24"/>
        </w:rPr>
        <w:t>A CREDENCIADA</w:t>
      </w:r>
      <w:r w:rsidR="003357DA" w:rsidRPr="00B82233">
        <w:rPr>
          <w:rFonts w:cs="Arial"/>
          <w:color w:val="000000"/>
          <w:szCs w:val="24"/>
        </w:rPr>
        <w:t>.</w:t>
      </w:r>
    </w:p>
    <w:p w14:paraId="4FE01AAE" w14:textId="77777777" w:rsidR="009D2AB4" w:rsidRPr="00B82233" w:rsidRDefault="009D2AB4" w:rsidP="00F45466">
      <w:pPr>
        <w:pStyle w:val="BNDES"/>
        <w:rPr>
          <w:rFonts w:cs="Arial"/>
          <w:szCs w:val="24"/>
        </w:rPr>
      </w:pPr>
    </w:p>
    <w:p w14:paraId="1CF9D1F2" w14:textId="35BB9C14" w:rsidR="00F45466" w:rsidRPr="00B82233" w:rsidRDefault="00F45466" w:rsidP="00F45466">
      <w:pPr>
        <w:jc w:val="both"/>
        <w:rPr>
          <w:rFonts w:ascii="Arial" w:hAnsi="Arial" w:cs="Arial"/>
          <w:sz w:val="24"/>
          <w:szCs w:val="24"/>
        </w:rPr>
      </w:pPr>
      <w:r w:rsidRPr="00B82233">
        <w:rPr>
          <w:rFonts w:ascii="Arial" w:hAnsi="Arial" w:cs="Arial"/>
          <w:sz w:val="24"/>
          <w:szCs w:val="24"/>
          <w:u w:val="single"/>
        </w:rPr>
        <w:t>ALTERAÇÃO DO CRITÉRIO LEGAL DE REMUNERAÇÃO DOS RECURSOS ORIGINÁRIOS DO FAT</w:t>
      </w:r>
      <w:r w:rsidRPr="00B82233">
        <w:rPr>
          <w:rFonts w:ascii="Arial" w:hAnsi="Arial" w:cs="Arial"/>
          <w:sz w:val="24"/>
          <w:szCs w:val="24"/>
        </w:rPr>
        <w:t xml:space="preserve">: Na hipótese de vir a ser substituído o critério legal de remuneração dos recursos repassados ao </w:t>
      </w:r>
      <w:r w:rsidR="00867428">
        <w:rPr>
          <w:rFonts w:ascii="Arial" w:hAnsi="Arial" w:cs="Arial"/>
          <w:sz w:val="24"/>
          <w:szCs w:val="24"/>
        </w:rPr>
        <w:t xml:space="preserve">Sistema </w:t>
      </w:r>
      <w:r w:rsidRPr="00B82233">
        <w:rPr>
          <w:rFonts w:ascii="Arial" w:hAnsi="Arial" w:cs="Arial"/>
          <w:sz w:val="24"/>
          <w:szCs w:val="24"/>
        </w:rPr>
        <w:t>BNDES, originários do Fundo de Amparo ao Trabalhador - FAT, a remuneração prevista neste Contrato poderá, a critério do BNDES</w:t>
      </w:r>
      <w:r w:rsidR="00AC3D3D" w:rsidRPr="00B82233">
        <w:rPr>
          <w:rFonts w:ascii="Arial" w:hAnsi="Arial" w:cs="Arial"/>
          <w:sz w:val="24"/>
          <w:szCs w:val="24"/>
        </w:rPr>
        <w:t>/FINAME</w:t>
      </w:r>
      <w:r w:rsidRPr="00B82233">
        <w:rPr>
          <w:rFonts w:ascii="Arial" w:hAnsi="Arial" w:cs="Arial"/>
          <w:sz w:val="24"/>
          <w:szCs w:val="24"/>
        </w:rPr>
        <w:t>, passar a ser efetuada mediante utilização do novo critério de remuneração dos aludidos recursos, ou outro, indicado pelo BNDES</w:t>
      </w:r>
      <w:r w:rsidR="00AC3D3D" w:rsidRPr="00B82233">
        <w:rPr>
          <w:rFonts w:ascii="Arial" w:hAnsi="Arial" w:cs="Arial"/>
          <w:sz w:val="24"/>
          <w:szCs w:val="24"/>
        </w:rPr>
        <w:t>/FINAME</w:t>
      </w:r>
      <w:r w:rsidRPr="00B82233">
        <w:rPr>
          <w:rFonts w:ascii="Arial" w:hAnsi="Arial" w:cs="Arial"/>
          <w:sz w:val="24"/>
          <w:szCs w:val="24"/>
        </w:rPr>
        <w:t xml:space="preserve"> que, além de preservar o valor real da operação, a remunere nos mesmos níveis anteriores. Nesse caso, a INSTITUIÇÃO FINANCEIRA CREDENCIADA</w:t>
      </w:r>
      <w:r w:rsidRPr="00B82233" w:rsidDel="004F6283">
        <w:rPr>
          <w:rFonts w:ascii="Arial" w:hAnsi="Arial" w:cs="Arial"/>
          <w:sz w:val="24"/>
          <w:szCs w:val="24"/>
        </w:rPr>
        <w:t xml:space="preserve"> </w:t>
      </w:r>
      <w:r w:rsidRPr="00B82233">
        <w:rPr>
          <w:rFonts w:ascii="Arial" w:hAnsi="Arial" w:cs="Arial"/>
          <w:sz w:val="24"/>
          <w:szCs w:val="24"/>
        </w:rPr>
        <w:t xml:space="preserve">comunicará a alteração, por escrito, </w:t>
      </w:r>
      <w:r w:rsidR="0080070D">
        <w:rPr>
          <w:rFonts w:ascii="Arial" w:hAnsi="Arial" w:cs="Arial"/>
          <w:sz w:val="24"/>
          <w:szCs w:val="24"/>
        </w:rPr>
        <w:t>ao</w:t>
      </w:r>
      <w:r w:rsidR="0080070D" w:rsidRPr="00B82233">
        <w:rPr>
          <w:rFonts w:ascii="Arial" w:hAnsi="Arial" w:cs="Arial"/>
          <w:sz w:val="24"/>
          <w:szCs w:val="24"/>
        </w:rPr>
        <w:t xml:space="preserve"> </w:t>
      </w:r>
      <w:r w:rsidR="004C5446">
        <w:rPr>
          <w:rFonts w:ascii="Arial" w:hAnsi="Arial" w:cs="Arial"/>
          <w:sz w:val="24"/>
          <w:szCs w:val="24"/>
        </w:rPr>
        <w:t>CLIENTE</w:t>
      </w:r>
      <w:r w:rsidRPr="00B82233">
        <w:rPr>
          <w:rFonts w:ascii="Arial" w:hAnsi="Arial" w:cs="Arial"/>
          <w:sz w:val="24"/>
          <w:szCs w:val="24"/>
        </w:rPr>
        <w:t>.</w:t>
      </w:r>
    </w:p>
    <w:p w14:paraId="36F7F6F9" w14:textId="77777777" w:rsidR="00F45466" w:rsidRPr="00B82233" w:rsidRDefault="00F45466" w:rsidP="00F45466">
      <w:pPr>
        <w:jc w:val="both"/>
        <w:rPr>
          <w:rFonts w:ascii="Arial" w:hAnsi="Arial" w:cs="Arial"/>
          <w:sz w:val="24"/>
          <w:szCs w:val="24"/>
        </w:rPr>
      </w:pPr>
    </w:p>
    <w:p w14:paraId="0F9CA662" w14:textId="2EE415C8" w:rsidR="00062FAC" w:rsidRPr="00F01F75" w:rsidRDefault="00062FAC" w:rsidP="00B82233">
      <w:pPr>
        <w:pStyle w:val="BNDES"/>
        <w:numPr>
          <w:ilvl w:val="0"/>
          <w:numId w:val="49"/>
        </w:numPr>
        <w:ind w:left="709" w:hanging="709"/>
        <w:rPr>
          <w:rFonts w:cs="Arial"/>
          <w:b/>
          <w:szCs w:val="24"/>
          <w:u w:val="single"/>
        </w:rPr>
      </w:pPr>
      <w:r w:rsidRPr="00797A8C">
        <w:rPr>
          <w:rFonts w:cs="Arial"/>
          <w:b/>
          <w:szCs w:val="24"/>
        </w:rPr>
        <w:br w:type="page"/>
      </w:r>
      <w:r w:rsidRPr="00797A8C">
        <w:rPr>
          <w:rFonts w:cs="Arial"/>
          <w:b/>
          <w:szCs w:val="24"/>
          <w:u w:val="single"/>
        </w:rPr>
        <w:lastRenderedPageBreak/>
        <w:t>C</w:t>
      </w:r>
      <w:r w:rsidR="00CF776F" w:rsidRPr="00797A8C">
        <w:rPr>
          <w:rFonts w:cs="Arial"/>
          <w:b/>
          <w:szCs w:val="24"/>
          <w:u w:val="single"/>
        </w:rPr>
        <w:t>láusulas e</w:t>
      </w:r>
      <w:r w:rsidR="0026490B">
        <w:rPr>
          <w:rFonts w:cs="Arial"/>
          <w:b/>
          <w:szCs w:val="24"/>
          <w:u w:val="single"/>
        </w:rPr>
        <w:t>specíficas</w:t>
      </w:r>
      <w:r w:rsidRPr="00050EC3">
        <w:rPr>
          <w:rFonts w:cs="Arial"/>
          <w:b/>
          <w:szCs w:val="24"/>
          <w:u w:val="single"/>
        </w:rPr>
        <w:t xml:space="preserve"> </w:t>
      </w:r>
      <w:r w:rsidR="00A028E0" w:rsidRPr="00050EC3">
        <w:rPr>
          <w:rFonts w:cs="Arial"/>
          <w:b/>
          <w:szCs w:val="24"/>
          <w:u w:val="single"/>
        </w:rPr>
        <w:t xml:space="preserve">que deverão constar nos </w:t>
      </w:r>
      <w:r w:rsidR="008775E5">
        <w:rPr>
          <w:rFonts w:cs="Arial"/>
          <w:b/>
          <w:szCs w:val="24"/>
          <w:u w:val="single"/>
        </w:rPr>
        <w:t>instrumentos jurídicos que formalizam a operação de crédito</w:t>
      </w:r>
      <w:r w:rsidR="008775E5" w:rsidRPr="00133EC2">
        <w:rPr>
          <w:rFonts w:cs="Arial"/>
          <w:b/>
          <w:szCs w:val="24"/>
          <w:u w:val="single"/>
        </w:rPr>
        <w:t xml:space="preserve"> </w:t>
      </w:r>
      <w:r w:rsidRPr="00F65D07">
        <w:rPr>
          <w:rFonts w:cs="Arial"/>
          <w:b/>
          <w:szCs w:val="24"/>
          <w:u w:val="single"/>
        </w:rPr>
        <w:t>com Custo Financeiro em TLP</w:t>
      </w:r>
      <w:r w:rsidRPr="00F65D07">
        <w:rPr>
          <w:rFonts w:cs="Arial"/>
          <w:b/>
          <w:szCs w:val="24"/>
          <w:u w:val="single"/>
          <w:vertAlign w:val="superscript"/>
        </w:rPr>
        <w:t>CAP</w:t>
      </w:r>
      <w:r w:rsidRPr="00F01F75">
        <w:rPr>
          <w:rFonts w:cs="Arial"/>
          <w:b/>
          <w:szCs w:val="24"/>
          <w:u w:val="single"/>
        </w:rPr>
        <w:t xml:space="preserve"> </w:t>
      </w:r>
    </w:p>
    <w:p w14:paraId="07A7BC52" w14:textId="77777777" w:rsidR="00062FAC" w:rsidRPr="00295C28" w:rsidRDefault="00062FAC" w:rsidP="00062FAC">
      <w:pPr>
        <w:pStyle w:val="BNDES"/>
        <w:rPr>
          <w:rFonts w:cs="Arial"/>
          <w:b/>
          <w:i/>
          <w:color w:val="000080"/>
          <w:szCs w:val="24"/>
        </w:rPr>
      </w:pPr>
    </w:p>
    <w:p w14:paraId="48F04A8A" w14:textId="77777777" w:rsidR="00062FAC" w:rsidRPr="00B82233" w:rsidRDefault="00062FAC" w:rsidP="00062FAC">
      <w:pPr>
        <w:jc w:val="both"/>
        <w:rPr>
          <w:rFonts w:ascii="Arial" w:hAnsi="Arial" w:cs="Arial"/>
          <w:sz w:val="24"/>
          <w:szCs w:val="24"/>
        </w:rPr>
      </w:pPr>
    </w:p>
    <w:p w14:paraId="73863296" w14:textId="736AB164" w:rsidR="00720E00" w:rsidRPr="00B82233" w:rsidRDefault="00720E00" w:rsidP="00720E00">
      <w:pPr>
        <w:jc w:val="both"/>
        <w:rPr>
          <w:rFonts w:ascii="Arial" w:hAnsi="Arial" w:cs="Arial"/>
          <w:sz w:val="24"/>
          <w:szCs w:val="24"/>
          <w:u w:val="single"/>
        </w:rPr>
      </w:pPr>
      <w:r w:rsidRPr="00B82233">
        <w:rPr>
          <w:rFonts w:ascii="Arial" w:hAnsi="Arial" w:cs="Arial"/>
          <w:sz w:val="24"/>
          <w:szCs w:val="24"/>
          <w:u w:val="single"/>
        </w:rPr>
        <w:t>VALOR DO CRÉDITO</w:t>
      </w:r>
      <w:r w:rsidRPr="00B82233">
        <w:rPr>
          <w:rFonts w:ascii="Arial" w:hAnsi="Arial" w:cs="Arial"/>
          <w:sz w:val="24"/>
          <w:szCs w:val="24"/>
        </w:rPr>
        <w:t xml:space="preserve">: </w:t>
      </w:r>
      <w:r w:rsidR="00DD68A7" w:rsidRPr="001B4167">
        <w:rPr>
          <w:rFonts w:ascii="Arial" w:hAnsi="Arial" w:cs="Arial"/>
          <w:sz w:val="24"/>
          <w:szCs w:val="24"/>
        </w:rPr>
        <w:t xml:space="preserve">R$ ................... (..............), a ser provido com recursos ordinários do </w:t>
      </w:r>
      <w:r w:rsidR="00DD68A7">
        <w:rPr>
          <w:rFonts w:ascii="Arial" w:hAnsi="Arial" w:cs="Arial"/>
          <w:sz w:val="24"/>
          <w:szCs w:val="24"/>
        </w:rPr>
        <w:t xml:space="preserve">Sistema </w:t>
      </w:r>
      <w:r w:rsidR="00DD68A7" w:rsidRPr="001B4167">
        <w:rPr>
          <w:rFonts w:ascii="Arial" w:hAnsi="Arial" w:cs="Arial"/>
          <w:sz w:val="24"/>
          <w:szCs w:val="24"/>
        </w:rPr>
        <w:t xml:space="preserve">BNDES, que são compostos, dentre outras fontes, pelos recursos do Fundo de Amparo ao Trabalhador – FAT e pelos recursos originários do FAT – Depósitos Especiais, respeitada, quanto à sua alocação, a legislação aplicável a cada uma das aludidas fontes, à conta do Contrato de Abertura de Crédito (CAC), celebrado entre o </w:t>
      </w:r>
      <w:r w:rsidR="00DD68A7">
        <w:rPr>
          <w:rFonts w:ascii="Arial" w:hAnsi="Arial" w:cs="Arial"/>
          <w:sz w:val="24"/>
          <w:szCs w:val="24"/>
        </w:rPr>
        <w:t xml:space="preserve">Sistema </w:t>
      </w:r>
      <w:r w:rsidR="00DD68A7" w:rsidRPr="001B4167">
        <w:rPr>
          <w:rFonts w:ascii="Arial" w:hAnsi="Arial" w:cs="Arial"/>
          <w:sz w:val="24"/>
          <w:szCs w:val="24"/>
        </w:rPr>
        <w:t>BNDES e INSTITUIÇÕES FINANCEIRAS CREDENCIADAS</w:t>
      </w:r>
      <w:r w:rsidR="00B948CB" w:rsidRPr="00B82233">
        <w:rPr>
          <w:rFonts w:ascii="Arial" w:hAnsi="Arial" w:cs="Arial"/>
          <w:sz w:val="24"/>
          <w:szCs w:val="24"/>
        </w:rPr>
        <w:t>.</w:t>
      </w:r>
    </w:p>
    <w:p w14:paraId="69CE60B3" w14:textId="77777777" w:rsidR="00720E00" w:rsidRPr="00B82233" w:rsidRDefault="00720E00" w:rsidP="00062FAC">
      <w:pPr>
        <w:pStyle w:val="BNDES"/>
        <w:rPr>
          <w:rFonts w:cs="Arial"/>
          <w:szCs w:val="24"/>
          <w:u w:val="single"/>
        </w:rPr>
      </w:pPr>
    </w:p>
    <w:p w14:paraId="2D60909D" w14:textId="77777777" w:rsidR="00062FAC" w:rsidRPr="00B82233" w:rsidRDefault="00062FAC" w:rsidP="00062FAC">
      <w:pPr>
        <w:pStyle w:val="BNDES"/>
        <w:rPr>
          <w:rFonts w:cs="Arial"/>
          <w:szCs w:val="24"/>
        </w:rPr>
      </w:pPr>
      <w:r w:rsidRPr="00B82233">
        <w:rPr>
          <w:rFonts w:cs="Arial"/>
          <w:szCs w:val="24"/>
          <w:u w:val="single"/>
        </w:rPr>
        <w:t>JUROS</w:t>
      </w:r>
      <w:r w:rsidRPr="00B82233">
        <w:rPr>
          <w:rFonts w:cs="Arial"/>
          <w:szCs w:val="24"/>
        </w:rPr>
        <w:t>: Os juros são devidos às seguintes taxas, observada a sistemática estabelecida nas condições adiante:</w:t>
      </w:r>
    </w:p>
    <w:p w14:paraId="6C98ABDA" w14:textId="77777777" w:rsidR="00062FAC" w:rsidRPr="00B82233" w:rsidRDefault="00062FAC" w:rsidP="00062FAC">
      <w:pPr>
        <w:pStyle w:val="BNDES"/>
        <w:rPr>
          <w:rFonts w:cs="Arial"/>
          <w:szCs w:val="24"/>
        </w:rPr>
      </w:pPr>
    </w:p>
    <w:p w14:paraId="3805BBB6" w14:textId="513F4D0E" w:rsidR="00062FAC" w:rsidRPr="00B82233" w:rsidRDefault="00062FAC" w:rsidP="00062FAC">
      <w:pPr>
        <w:pStyle w:val="BNDES"/>
        <w:rPr>
          <w:rFonts w:cs="Arial"/>
          <w:szCs w:val="24"/>
        </w:rPr>
      </w:pPr>
      <w:r w:rsidRPr="00B82233">
        <w:rPr>
          <w:rFonts w:cs="Arial"/>
          <w:szCs w:val="24"/>
        </w:rPr>
        <w:t xml:space="preserve">I - </w:t>
      </w:r>
      <w:r w:rsidRPr="00B82233">
        <w:rPr>
          <w:rFonts w:cs="Arial"/>
          <w:szCs w:val="24"/>
          <w:u w:val="single"/>
        </w:rPr>
        <w:t xml:space="preserve">a serem cobrados à INSTITUIÇÃO FINANCEIRA CREDENCIADA pelo </w:t>
      </w:r>
      <w:r w:rsidR="00F467B1">
        <w:rPr>
          <w:rFonts w:cs="Arial"/>
          <w:szCs w:val="24"/>
          <w:u w:val="single"/>
        </w:rPr>
        <w:t xml:space="preserve">Sistema </w:t>
      </w:r>
      <w:r w:rsidRPr="00B82233">
        <w:rPr>
          <w:rFonts w:cs="Arial"/>
          <w:szCs w:val="24"/>
          <w:u w:val="single"/>
        </w:rPr>
        <w:t>BNDES</w:t>
      </w:r>
      <w:r w:rsidRPr="00B82233">
        <w:rPr>
          <w:rFonts w:cs="Arial"/>
          <w:szCs w:val="24"/>
        </w:rPr>
        <w:t xml:space="preserve">: </w:t>
      </w:r>
    </w:p>
    <w:p w14:paraId="4EFF1626" w14:textId="77777777" w:rsidR="00062FAC" w:rsidRPr="00B82233" w:rsidRDefault="00062FAC" w:rsidP="00062FAC">
      <w:pPr>
        <w:pStyle w:val="BNDES"/>
        <w:ind w:left="284" w:hanging="284"/>
        <w:rPr>
          <w:rFonts w:cs="Arial"/>
          <w:szCs w:val="24"/>
        </w:rPr>
      </w:pPr>
      <w:r w:rsidRPr="00B82233">
        <w:rPr>
          <w:rFonts w:cs="Arial"/>
          <w:szCs w:val="24"/>
        </w:rPr>
        <w:t xml:space="preserve">....% (....... por cento) ao ano (a título de remuneração), composto com a Taxa de Longo Prazo –TLP; </w:t>
      </w:r>
    </w:p>
    <w:p w14:paraId="2B019243" w14:textId="77777777" w:rsidR="00062FAC" w:rsidRPr="00B82233" w:rsidRDefault="00062FAC" w:rsidP="00062FAC">
      <w:pPr>
        <w:pStyle w:val="BNDES"/>
        <w:rPr>
          <w:rFonts w:cs="Arial"/>
          <w:szCs w:val="24"/>
        </w:rPr>
      </w:pPr>
    </w:p>
    <w:p w14:paraId="7654E1BD" w14:textId="7EBB5BCC" w:rsidR="00062FAC" w:rsidRPr="00B82233" w:rsidRDefault="00062FAC" w:rsidP="00062FAC">
      <w:pPr>
        <w:pStyle w:val="BNDES"/>
        <w:rPr>
          <w:rFonts w:cs="Arial"/>
          <w:szCs w:val="24"/>
        </w:rPr>
      </w:pPr>
      <w:r w:rsidRPr="00B82233">
        <w:rPr>
          <w:rFonts w:cs="Arial"/>
          <w:szCs w:val="24"/>
        </w:rPr>
        <w:t xml:space="preserve">II - </w:t>
      </w:r>
      <w:r w:rsidRPr="00B82233">
        <w:rPr>
          <w:rFonts w:cs="Arial"/>
          <w:szCs w:val="24"/>
          <w:u w:val="single"/>
        </w:rPr>
        <w:t xml:space="preserve">a serem cobrados </w:t>
      </w:r>
      <w:r w:rsidR="0080070D">
        <w:rPr>
          <w:rFonts w:cs="Arial"/>
          <w:szCs w:val="24"/>
          <w:u w:val="single"/>
        </w:rPr>
        <w:t>ao</w:t>
      </w:r>
      <w:r w:rsidR="0080070D" w:rsidRPr="00B82233">
        <w:rPr>
          <w:rFonts w:cs="Arial"/>
          <w:szCs w:val="24"/>
          <w:u w:val="single"/>
        </w:rPr>
        <w:t xml:space="preserve"> </w:t>
      </w:r>
      <w:r w:rsidR="00F467B1">
        <w:rPr>
          <w:rFonts w:cs="Arial"/>
          <w:szCs w:val="24"/>
          <w:u w:val="single"/>
        </w:rPr>
        <w:t>CLIENTE</w:t>
      </w:r>
      <w:r w:rsidRPr="00B82233">
        <w:rPr>
          <w:rFonts w:cs="Arial"/>
          <w:szCs w:val="24"/>
          <w:u w:val="single"/>
        </w:rPr>
        <w:t>pela INSTITUIÇÃO FINANCEIRA CREDENCIADA</w:t>
      </w:r>
      <w:r w:rsidRPr="00B82233">
        <w:rPr>
          <w:rFonts w:cs="Arial"/>
          <w:szCs w:val="24"/>
        </w:rPr>
        <w:t>:</w:t>
      </w:r>
    </w:p>
    <w:p w14:paraId="316501DA" w14:textId="6489533D" w:rsidR="00062FAC" w:rsidRPr="00B82233" w:rsidRDefault="00062FAC" w:rsidP="00062FAC">
      <w:pPr>
        <w:pStyle w:val="BNDES"/>
        <w:ind w:left="284"/>
        <w:rPr>
          <w:rFonts w:cs="Arial"/>
          <w:szCs w:val="24"/>
        </w:rPr>
      </w:pPr>
      <w:r w:rsidRPr="00B82233">
        <w:rPr>
          <w:rFonts w:cs="Arial"/>
          <w:szCs w:val="24"/>
        </w:rPr>
        <w:t xml:space="preserve"> ...% (.......... por cento) ao ano (a título de remuneração), composto com as taxas a serem cobradas à INSTITUIÇÃO FINANCEIRA CREDENCIADA pelo </w:t>
      </w:r>
      <w:r w:rsidR="00955AAD">
        <w:rPr>
          <w:rFonts w:cs="Arial"/>
          <w:szCs w:val="24"/>
        </w:rPr>
        <w:t xml:space="preserve">Sistema </w:t>
      </w:r>
      <w:r w:rsidRPr="00B82233">
        <w:rPr>
          <w:rFonts w:cs="Arial"/>
          <w:szCs w:val="24"/>
        </w:rPr>
        <w:t>BNDES.</w:t>
      </w:r>
    </w:p>
    <w:p w14:paraId="0B04DB25" w14:textId="77777777" w:rsidR="00062FAC" w:rsidRPr="00B82233" w:rsidRDefault="00062FAC" w:rsidP="00062FAC">
      <w:pPr>
        <w:pStyle w:val="BNDES"/>
        <w:rPr>
          <w:rFonts w:cs="Arial"/>
          <w:szCs w:val="24"/>
        </w:rPr>
      </w:pPr>
    </w:p>
    <w:p w14:paraId="5457D0D7" w14:textId="77777777" w:rsidR="00062FAC" w:rsidRPr="00B82233" w:rsidRDefault="00062FAC" w:rsidP="00062FAC">
      <w:pPr>
        <w:pStyle w:val="BNDES"/>
        <w:rPr>
          <w:rFonts w:cs="Arial"/>
          <w:szCs w:val="24"/>
          <w:u w:val="single"/>
        </w:rPr>
      </w:pPr>
      <w:r w:rsidRPr="00B82233">
        <w:rPr>
          <w:rFonts w:cs="Arial"/>
          <w:szCs w:val="24"/>
          <w:u w:val="single"/>
        </w:rPr>
        <w:t>Forma de Cálculo</w:t>
      </w:r>
    </w:p>
    <w:p w14:paraId="47F39D00" w14:textId="2DF87491" w:rsidR="00062FAC" w:rsidRPr="00B82233" w:rsidRDefault="00062FAC" w:rsidP="00062FAC">
      <w:pPr>
        <w:pStyle w:val="BNDES"/>
        <w:rPr>
          <w:rFonts w:cs="Arial"/>
          <w:szCs w:val="24"/>
        </w:rPr>
      </w:pPr>
      <w:r w:rsidRPr="00B82233">
        <w:rPr>
          <w:rFonts w:cs="Arial"/>
          <w:szCs w:val="24"/>
        </w:rPr>
        <w:t xml:space="preserve">A partir da Data de Desembolso ou da data de pagamento da Remuneração imediatamente anterior, conforme o caso, até a data de vencimento ou pagamento da Remuneração imediatamente subsequente, serão devidos juros remuneratórios, incidentes sobre o Principal, correspondentes à taxa composta (i) pela variação acumulada do Índice Nacional de Preços ao Consumidor Amplo, divulgado pelo IBGE (“IPCA”), calculado de forma </w:t>
      </w:r>
      <w:r w:rsidRPr="00B82233">
        <w:rPr>
          <w:rFonts w:cs="Arial"/>
          <w:i/>
          <w:szCs w:val="24"/>
        </w:rPr>
        <w:t>pro rata temporis</w:t>
      </w:r>
      <w:r w:rsidRPr="00B82233">
        <w:rPr>
          <w:rFonts w:cs="Arial"/>
          <w:szCs w:val="24"/>
        </w:rPr>
        <w:t>, (ii) pela taxa de juros prefixada de [●] % (●) ao ano (J</w:t>
      </w:r>
      <w:r w:rsidR="00DD1B97" w:rsidRPr="00B82233">
        <w:rPr>
          <w:rStyle w:val="Refdenotaderodap"/>
          <w:rFonts w:cs="Arial"/>
          <w:szCs w:val="24"/>
        </w:rPr>
        <w:footnoteReference w:id="4"/>
      </w:r>
      <w:r w:rsidRPr="00B82233">
        <w:rPr>
          <w:rFonts w:cs="Arial"/>
          <w:szCs w:val="24"/>
        </w:rPr>
        <w:t>), (iii) pelo spread do BNDES</w:t>
      </w:r>
      <w:r w:rsidR="00DD1B97" w:rsidRPr="00B82233">
        <w:rPr>
          <w:rStyle w:val="Refdenotaderodap"/>
          <w:rFonts w:cs="Arial"/>
          <w:szCs w:val="24"/>
        </w:rPr>
        <w:footnoteReference w:id="5"/>
      </w:r>
      <w:r w:rsidRPr="00B82233">
        <w:rPr>
          <w:rFonts w:cs="Arial"/>
          <w:szCs w:val="24"/>
        </w:rPr>
        <w:t xml:space="preserve"> de [●] % (●) ao ano (“Spread BNDES”), e (iv) pelo spread da Instituição Financeira Credenciada de [●] % (●) (“Spread da Instituição Financeira Credenciada”), observada a seguinte sistemática:</w:t>
      </w:r>
    </w:p>
    <w:p w14:paraId="67DADB1F" w14:textId="77777777" w:rsidR="00062FAC" w:rsidRPr="00B82233" w:rsidRDefault="00062FAC" w:rsidP="00062FAC">
      <w:pPr>
        <w:pStyle w:val="BNDES"/>
        <w:rPr>
          <w:rFonts w:cs="Arial"/>
          <w:szCs w:val="24"/>
        </w:rPr>
      </w:pPr>
    </w:p>
    <w:p w14:paraId="52151119" w14:textId="04FF7E9C" w:rsidR="00062FAC" w:rsidRPr="00B82233" w:rsidRDefault="00062FAC" w:rsidP="00062FAC">
      <w:pPr>
        <w:pStyle w:val="BNDES"/>
        <w:rPr>
          <w:rFonts w:cs="Arial"/>
          <w:szCs w:val="24"/>
        </w:rPr>
      </w:pPr>
      <w:r w:rsidRPr="00B82233">
        <w:rPr>
          <w:rFonts w:cs="Arial"/>
          <w:szCs w:val="24"/>
        </w:rPr>
        <w:t xml:space="preserve">I – </w:t>
      </w:r>
      <w:r w:rsidRPr="00B82233">
        <w:rPr>
          <w:rFonts w:cs="Arial"/>
          <w:szCs w:val="24"/>
          <w:u w:val="single"/>
        </w:rPr>
        <w:t>Parcela referente à variação acumulada do IPCA</w:t>
      </w:r>
      <w:r w:rsidR="00DA02AB">
        <w:rPr>
          <w:rFonts w:cs="Arial"/>
          <w:szCs w:val="24"/>
        </w:rPr>
        <w:t>:</w:t>
      </w:r>
    </w:p>
    <w:p w14:paraId="0D3DC7F3" w14:textId="77777777" w:rsidR="00062FAC" w:rsidRPr="00B82233" w:rsidRDefault="00062FAC" w:rsidP="00062FAC">
      <w:pPr>
        <w:pStyle w:val="BNDES"/>
        <w:rPr>
          <w:rFonts w:cs="Arial"/>
          <w:szCs w:val="24"/>
        </w:rPr>
      </w:pPr>
    </w:p>
    <w:p w14:paraId="162C5CEB" w14:textId="77777777" w:rsidR="00062FAC" w:rsidRPr="00B82233" w:rsidRDefault="00062FAC" w:rsidP="00062FAC">
      <w:pPr>
        <w:pStyle w:val="BNDES"/>
        <w:rPr>
          <w:rFonts w:cs="Arial"/>
          <w:szCs w:val="24"/>
        </w:rPr>
      </w:pPr>
      <w:r w:rsidRPr="00B82233">
        <w:rPr>
          <w:rFonts w:cs="Arial"/>
          <w:szCs w:val="24"/>
        </w:rPr>
        <w:t>O montante da parcela de juros correspondente à variação acumulada do IPCA será capitalizado mediante a incidência do seguinte termo de capitalização sobre o saldo devedor, aí considerados todos os eventos financeiros ocorridos no período, observada a seguinte fórmula:</w:t>
      </w:r>
    </w:p>
    <w:p w14:paraId="3EF55A38" w14:textId="77777777" w:rsidR="00062FAC" w:rsidRPr="00B82233" w:rsidRDefault="00062FAC" w:rsidP="00062FAC">
      <w:pPr>
        <w:pStyle w:val="BNDES"/>
        <w:rPr>
          <w:rFonts w:cs="Arial"/>
          <w:szCs w:val="24"/>
        </w:rPr>
      </w:pPr>
    </w:p>
    <w:p w14:paraId="6592EEAF" w14:textId="77777777" w:rsidR="00062FAC" w:rsidRPr="00B82233" w:rsidRDefault="00062FAC" w:rsidP="00062FAC">
      <w:pPr>
        <w:pStyle w:val="BNDES"/>
        <w:ind w:left="993"/>
        <w:rPr>
          <w:rFonts w:cs="Arial"/>
          <w:szCs w:val="24"/>
        </w:rPr>
      </w:pPr>
      <w:r w:rsidRPr="00B82233">
        <w:rPr>
          <w:rFonts w:cs="Arial"/>
          <w:szCs w:val="24"/>
        </w:rPr>
        <w:t>SD</w:t>
      </w:r>
      <w:r w:rsidRPr="00B82233">
        <w:rPr>
          <w:rFonts w:cs="Arial"/>
          <w:szCs w:val="24"/>
          <w:vertAlign w:val="subscript"/>
        </w:rPr>
        <w:t>n</w:t>
      </w:r>
      <w:r w:rsidRPr="00B82233">
        <w:rPr>
          <w:rFonts w:cs="Arial"/>
          <w:szCs w:val="24"/>
        </w:rPr>
        <w:t xml:space="preserve"> = SD</w:t>
      </w:r>
      <w:r w:rsidRPr="00B82233">
        <w:rPr>
          <w:rFonts w:cs="Arial"/>
          <w:szCs w:val="24"/>
          <w:vertAlign w:val="subscript"/>
        </w:rPr>
        <w:t>(n-1)</w:t>
      </w:r>
      <w:r w:rsidRPr="00B82233">
        <w:rPr>
          <w:rFonts w:cs="Arial"/>
          <w:szCs w:val="24"/>
        </w:rPr>
        <w:t xml:space="preserve"> x FatorIPCA</w:t>
      </w:r>
      <w:r w:rsidRPr="00B82233">
        <w:rPr>
          <w:rFonts w:cs="Arial"/>
          <w:szCs w:val="24"/>
          <w:vertAlign w:val="subscript"/>
        </w:rPr>
        <w:t>n</w:t>
      </w:r>
    </w:p>
    <w:p w14:paraId="50DB8F55" w14:textId="77777777" w:rsidR="00062FAC" w:rsidRPr="00B82233" w:rsidRDefault="00062FAC" w:rsidP="00062FAC">
      <w:pPr>
        <w:pStyle w:val="BNDES"/>
        <w:ind w:left="993"/>
        <w:rPr>
          <w:rFonts w:cs="Arial"/>
          <w:szCs w:val="24"/>
        </w:rPr>
      </w:pPr>
    </w:p>
    <w:p w14:paraId="12168EF7" w14:textId="77777777" w:rsidR="00062FAC" w:rsidRPr="00B82233" w:rsidRDefault="00062FAC" w:rsidP="00062FAC">
      <w:pPr>
        <w:pStyle w:val="BNDES"/>
        <w:ind w:left="993"/>
        <w:rPr>
          <w:rFonts w:cs="Arial"/>
          <w:szCs w:val="24"/>
        </w:rPr>
      </w:pPr>
      <w:r w:rsidRPr="00B82233">
        <w:rPr>
          <w:rFonts w:cs="Arial"/>
          <w:szCs w:val="24"/>
        </w:rPr>
        <w:t>Em que:</w:t>
      </w:r>
    </w:p>
    <w:p w14:paraId="06776077" w14:textId="77777777" w:rsidR="00062FAC" w:rsidRPr="00B82233" w:rsidRDefault="00062FAC" w:rsidP="00062FAC">
      <w:pPr>
        <w:pStyle w:val="BNDES"/>
        <w:ind w:left="1134"/>
        <w:rPr>
          <w:rFonts w:cs="Arial"/>
          <w:szCs w:val="24"/>
        </w:rPr>
      </w:pPr>
    </w:p>
    <w:tbl>
      <w:tblPr>
        <w:tblW w:w="861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7"/>
        <w:gridCol w:w="6520"/>
      </w:tblGrid>
      <w:tr w:rsidR="00062FAC" w:rsidRPr="00797A8C" w14:paraId="4862DFCD" w14:textId="77777777" w:rsidTr="00C91128">
        <w:tc>
          <w:tcPr>
            <w:tcW w:w="1526" w:type="dxa"/>
            <w:shd w:val="clear" w:color="auto" w:fill="auto"/>
          </w:tcPr>
          <w:p w14:paraId="2CBC7AB1" w14:textId="77777777" w:rsidR="00062FAC" w:rsidRPr="00B82233" w:rsidRDefault="00062FAC" w:rsidP="00C91128">
            <w:pPr>
              <w:pStyle w:val="BNDES"/>
              <w:rPr>
                <w:rFonts w:cs="Arial"/>
                <w:color w:val="000000"/>
                <w:szCs w:val="24"/>
              </w:rPr>
            </w:pPr>
            <w:r w:rsidRPr="00B82233">
              <w:rPr>
                <w:rFonts w:cs="Arial"/>
                <w:color w:val="000000"/>
                <w:szCs w:val="24"/>
              </w:rPr>
              <w:t>SD</w:t>
            </w:r>
            <w:r w:rsidRPr="00B82233">
              <w:rPr>
                <w:rFonts w:cs="Arial"/>
                <w:color w:val="000000"/>
                <w:szCs w:val="24"/>
                <w:vertAlign w:val="subscript"/>
              </w:rPr>
              <w:t>n</w:t>
            </w:r>
          </w:p>
        </w:tc>
        <w:tc>
          <w:tcPr>
            <w:tcW w:w="567" w:type="dxa"/>
            <w:shd w:val="clear" w:color="auto" w:fill="auto"/>
          </w:tcPr>
          <w:p w14:paraId="55BB9A63" w14:textId="77777777" w:rsidR="00062FAC" w:rsidRPr="00B82233" w:rsidRDefault="00062FAC" w:rsidP="00C91128">
            <w:pPr>
              <w:pStyle w:val="BNDES"/>
              <w:rPr>
                <w:rFonts w:cs="Arial"/>
                <w:color w:val="000000"/>
                <w:szCs w:val="24"/>
              </w:rPr>
            </w:pPr>
            <w:r w:rsidRPr="00B82233">
              <w:rPr>
                <w:rFonts w:cs="Arial"/>
                <w:color w:val="000000"/>
                <w:szCs w:val="24"/>
              </w:rPr>
              <w:t>=</w:t>
            </w:r>
          </w:p>
        </w:tc>
        <w:tc>
          <w:tcPr>
            <w:tcW w:w="6520" w:type="dxa"/>
            <w:shd w:val="clear" w:color="auto" w:fill="auto"/>
          </w:tcPr>
          <w:p w14:paraId="191EA9C0" w14:textId="77777777" w:rsidR="00062FAC" w:rsidRPr="00B82233" w:rsidRDefault="00062FAC" w:rsidP="00C91128">
            <w:pPr>
              <w:pStyle w:val="BNDES"/>
              <w:rPr>
                <w:rFonts w:cs="Arial"/>
                <w:color w:val="000000"/>
                <w:szCs w:val="24"/>
              </w:rPr>
            </w:pPr>
            <w:r w:rsidRPr="00B82233">
              <w:rPr>
                <w:rFonts w:cs="Arial"/>
                <w:color w:val="000000"/>
                <w:szCs w:val="24"/>
              </w:rPr>
              <w:t>saldo devedor;</w:t>
            </w:r>
          </w:p>
        </w:tc>
      </w:tr>
      <w:tr w:rsidR="00062FAC" w:rsidRPr="00797A8C" w14:paraId="5FE6BCCC" w14:textId="77777777" w:rsidTr="00C91128">
        <w:tc>
          <w:tcPr>
            <w:tcW w:w="1526" w:type="dxa"/>
            <w:shd w:val="clear" w:color="auto" w:fill="auto"/>
          </w:tcPr>
          <w:p w14:paraId="14308608" w14:textId="77777777" w:rsidR="00062FAC" w:rsidRPr="00B82233" w:rsidRDefault="00062FAC" w:rsidP="00C91128">
            <w:pPr>
              <w:pStyle w:val="BNDES"/>
              <w:rPr>
                <w:rFonts w:cs="Arial"/>
                <w:color w:val="000000"/>
                <w:szCs w:val="24"/>
              </w:rPr>
            </w:pPr>
            <w:r w:rsidRPr="00B82233">
              <w:rPr>
                <w:rFonts w:cs="Arial"/>
                <w:color w:val="000000"/>
                <w:szCs w:val="24"/>
              </w:rPr>
              <w:lastRenderedPageBreak/>
              <w:t>SD</w:t>
            </w:r>
            <w:r w:rsidRPr="00B82233">
              <w:rPr>
                <w:rFonts w:cs="Arial"/>
                <w:color w:val="000000"/>
                <w:szCs w:val="24"/>
                <w:vertAlign w:val="subscript"/>
              </w:rPr>
              <w:t>n-1</w:t>
            </w:r>
          </w:p>
        </w:tc>
        <w:tc>
          <w:tcPr>
            <w:tcW w:w="567" w:type="dxa"/>
            <w:shd w:val="clear" w:color="auto" w:fill="auto"/>
          </w:tcPr>
          <w:p w14:paraId="24928A1E" w14:textId="77777777" w:rsidR="00062FAC" w:rsidRPr="00B82233" w:rsidRDefault="00062FAC" w:rsidP="00C91128">
            <w:pPr>
              <w:pStyle w:val="BNDES"/>
              <w:rPr>
                <w:rFonts w:cs="Arial"/>
                <w:color w:val="000000"/>
                <w:szCs w:val="24"/>
              </w:rPr>
            </w:pPr>
            <w:r w:rsidRPr="00B82233">
              <w:rPr>
                <w:rFonts w:cs="Arial"/>
                <w:color w:val="000000"/>
                <w:szCs w:val="24"/>
              </w:rPr>
              <w:t>=</w:t>
            </w:r>
          </w:p>
        </w:tc>
        <w:tc>
          <w:tcPr>
            <w:tcW w:w="6520" w:type="dxa"/>
            <w:shd w:val="clear" w:color="auto" w:fill="auto"/>
          </w:tcPr>
          <w:p w14:paraId="24C976FE" w14:textId="77777777" w:rsidR="00062FAC" w:rsidRPr="00B82233" w:rsidRDefault="00062FAC" w:rsidP="00C91128">
            <w:pPr>
              <w:pStyle w:val="BNDES"/>
              <w:rPr>
                <w:rFonts w:cs="Arial"/>
                <w:color w:val="000000"/>
                <w:szCs w:val="24"/>
              </w:rPr>
            </w:pPr>
            <w:r w:rsidRPr="00B82233">
              <w:rPr>
                <w:rFonts w:cs="Arial"/>
                <w:color w:val="000000"/>
                <w:szCs w:val="24"/>
              </w:rPr>
              <w:t>saldo devedor no início do Período de Capitalização;</w:t>
            </w:r>
          </w:p>
        </w:tc>
      </w:tr>
      <w:tr w:rsidR="00062FAC" w:rsidRPr="00797A8C" w14:paraId="278250A8" w14:textId="77777777" w:rsidTr="00C91128">
        <w:tc>
          <w:tcPr>
            <w:tcW w:w="1526" w:type="dxa"/>
            <w:shd w:val="clear" w:color="auto" w:fill="auto"/>
          </w:tcPr>
          <w:p w14:paraId="31E5C5BD" w14:textId="77777777" w:rsidR="00062FAC" w:rsidRPr="00B82233" w:rsidRDefault="00062FAC" w:rsidP="00C91128">
            <w:pPr>
              <w:pStyle w:val="BNDES"/>
              <w:rPr>
                <w:rFonts w:cs="Arial"/>
                <w:color w:val="000000"/>
                <w:szCs w:val="24"/>
              </w:rPr>
            </w:pPr>
            <w:r w:rsidRPr="00B82233">
              <w:rPr>
                <w:rFonts w:cs="Arial"/>
                <w:color w:val="000000"/>
                <w:szCs w:val="24"/>
              </w:rPr>
              <w:t>FatorIPCA</w:t>
            </w:r>
            <w:r w:rsidRPr="00B82233">
              <w:rPr>
                <w:rFonts w:cs="Arial"/>
                <w:color w:val="000000"/>
                <w:szCs w:val="24"/>
                <w:vertAlign w:val="subscript"/>
              </w:rPr>
              <w:t>n</w:t>
            </w:r>
          </w:p>
        </w:tc>
        <w:tc>
          <w:tcPr>
            <w:tcW w:w="567" w:type="dxa"/>
            <w:shd w:val="clear" w:color="auto" w:fill="auto"/>
          </w:tcPr>
          <w:p w14:paraId="56DF9F27" w14:textId="77777777" w:rsidR="00062FAC" w:rsidRPr="00B82233" w:rsidRDefault="00062FAC" w:rsidP="00C91128">
            <w:pPr>
              <w:pStyle w:val="BNDES"/>
              <w:rPr>
                <w:rFonts w:cs="Arial"/>
                <w:color w:val="000000"/>
                <w:szCs w:val="24"/>
              </w:rPr>
            </w:pPr>
            <w:r w:rsidRPr="00B82233">
              <w:rPr>
                <w:rFonts w:cs="Arial"/>
                <w:color w:val="000000"/>
                <w:szCs w:val="24"/>
              </w:rPr>
              <w:t>=</w:t>
            </w:r>
          </w:p>
        </w:tc>
        <w:tc>
          <w:tcPr>
            <w:tcW w:w="6520" w:type="dxa"/>
            <w:shd w:val="clear" w:color="auto" w:fill="auto"/>
          </w:tcPr>
          <w:p w14:paraId="5BE97D8C" w14:textId="77777777" w:rsidR="00062FAC" w:rsidRPr="00B82233" w:rsidRDefault="00062FAC" w:rsidP="00C91128">
            <w:pPr>
              <w:pStyle w:val="BNDES"/>
              <w:rPr>
                <w:rFonts w:cs="Arial"/>
                <w:color w:val="000000"/>
                <w:szCs w:val="24"/>
              </w:rPr>
            </w:pPr>
            <w:r w:rsidRPr="00B82233">
              <w:rPr>
                <w:rFonts w:cs="Arial"/>
                <w:color w:val="000000"/>
                <w:szCs w:val="24"/>
              </w:rPr>
              <w:t>correspondente ao fator acumulado das variações percentuais mensais do IPCA, apurado da seguinte forma:</w:t>
            </w:r>
          </w:p>
        </w:tc>
      </w:tr>
    </w:tbl>
    <w:p w14:paraId="4D5D0CFB" w14:textId="77777777" w:rsidR="00062FAC" w:rsidRPr="00B82233" w:rsidRDefault="00062FAC" w:rsidP="00062FAC">
      <w:pPr>
        <w:pStyle w:val="BNDES"/>
        <w:ind w:left="1134"/>
        <w:rPr>
          <w:rFonts w:cs="Arial"/>
          <w:szCs w:val="24"/>
        </w:rPr>
      </w:pPr>
    </w:p>
    <w:p w14:paraId="05C7CBC2" w14:textId="77777777" w:rsidR="00062FAC" w:rsidRPr="00B82233" w:rsidRDefault="00062FAC" w:rsidP="00062FAC">
      <w:pPr>
        <w:pStyle w:val="BNDES"/>
        <w:rPr>
          <w:rFonts w:cs="Arial"/>
          <w:szCs w:val="24"/>
        </w:rPr>
      </w:pPr>
      <w:r w:rsidRPr="00797A8C">
        <w:rPr>
          <w:rFonts w:cs="Arial"/>
          <w:noProof/>
          <w:szCs w:val="24"/>
        </w:rPr>
        <w:drawing>
          <wp:anchor distT="0" distB="0" distL="114300" distR="114300" simplePos="0" relativeHeight="251656192" behindDoc="0" locked="0" layoutInCell="1" allowOverlap="0" wp14:anchorId="4BBFCA7A" wp14:editId="17C792FF">
            <wp:simplePos x="0" y="0"/>
            <wp:positionH relativeFrom="column">
              <wp:posOffset>1450975</wp:posOffset>
            </wp:positionH>
            <wp:positionV relativeFrom="paragraph">
              <wp:posOffset>71120</wp:posOffset>
            </wp:positionV>
            <wp:extent cx="1181100" cy="6572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pic:spPr>
                </pic:pic>
              </a:graphicData>
            </a:graphic>
            <wp14:sizeRelH relativeFrom="page">
              <wp14:pctWidth>0</wp14:pctWidth>
            </wp14:sizeRelH>
            <wp14:sizeRelV relativeFrom="page">
              <wp14:pctHeight>0</wp14:pctHeight>
            </wp14:sizeRelV>
          </wp:anchor>
        </w:drawing>
      </w:r>
    </w:p>
    <w:p w14:paraId="5CE08B65" w14:textId="77777777" w:rsidR="00062FAC" w:rsidRPr="00B82233" w:rsidRDefault="00062FAC" w:rsidP="00062FAC">
      <w:pPr>
        <w:pStyle w:val="BNDES"/>
        <w:ind w:left="993"/>
        <w:rPr>
          <w:rFonts w:cs="Arial"/>
          <w:szCs w:val="24"/>
        </w:rPr>
      </w:pPr>
    </w:p>
    <w:p w14:paraId="2D508B31" w14:textId="77777777" w:rsidR="00062FAC" w:rsidRPr="00B82233" w:rsidRDefault="00062FAC" w:rsidP="00062FAC">
      <w:pPr>
        <w:pStyle w:val="BNDES"/>
        <w:ind w:left="993"/>
        <w:rPr>
          <w:rFonts w:cs="Arial"/>
          <w:szCs w:val="24"/>
        </w:rPr>
      </w:pPr>
      <w:r w:rsidRPr="00B82233">
        <w:rPr>
          <w:rFonts w:cs="Arial"/>
          <w:szCs w:val="24"/>
        </w:rPr>
        <w:t xml:space="preserve">FatorIPCA = </w:t>
      </w:r>
    </w:p>
    <w:p w14:paraId="05F8A70E" w14:textId="77777777" w:rsidR="00062FAC" w:rsidRPr="00B82233" w:rsidRDefault="00062FAC" w:rsidP="00062FAC">
      <w:pPr>
        <w:pStyle w:val="BNDES"/>
        <w:rPr>
          <w:rFonts w:cs="Arial"/>
          <w:szCs w:val="24"/>
        </w:rPr>
      </w:pPr>
    </w:p>
    <w:p w14:paraId="2F2D65CE" w14:textId="77777777" w:rsidR="00062FAC" w:rsidRPr="00B82233" w:rsidRDefault="00062FAC" w:rsidP="00062FAC">
      <w:pPr>
        <w:pStyle w:val="BNDES"/>
        <w:rPr>
          <w:rFonts w:cs="Arial"/>
          <w:szCs w:val="24"/>
        </w:rPr>
      </w:pPr>
    </w:p>
    <w:p w14:paraId="7BA75FA2" w14:textId="77777777" w:rsidR="00062FAC" w:rsidRPr="00B82233" w:rsidRDefault="00062FAC" w:rsidP="00062FAC">
      <w:pPr>
        <w:pStyle w:val="BNDES"/>
        <w:rPr>
          <w:rFonts w:cs="Arial"/>
          <w:szCs w:val="24"/>
        </w:rPr>
      </w:pPr>
      <w:r w:rsidRPr="00B82233">
        <w:rPr>
          <w:rFonts w:cs="Arial"/>
          <w:szCs w:val="24"/>
        </w:rPr>
        <w:t>Em que:</w:t>
      </w:r>
    </w:p>
    <w:p w14:paraId="5F0CB4D9" w14:textId="77777777" w:rsidR="00062FAC" w:rsidRPr="00B82233" w:rsidRDefault="00062FAC" w:rsidP="00062FAC">
      <w:pPr>
        <w:pStyle w:val="BNDES"/>
        <w:rPr>
          <w:rFonts w:cs="Arial"/>
          <w:szCs w:val="24"/>
        </w:rPr>
      </w:pPr>
    </w:p>
    <w:tbl>
      <w:tblPr>
        <w:tblW w:w="864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
        <w:gridCol w:w="7371"/>
      </w:tblGrid>
      <w:tr w:rsidR="00062FAC" w:rsidRPr="00797A8C" w14:paraId="2402D0B4" w14:textId="77777777" w:rsidTr="00C91128">
        <w:trPr>
          <w:trHeight w:val="497"/>
        </w:trPr>
        <w:tc>
          <w:tcPr>
            <w:tcW w:w="850" w:type="dxa"/>
            <w:shd w:val="clear" w:color="auto" w:fill="auto"/>
          </w:tcPr>
          <w:p w14:paraId="0582D15C" w14:textId="77777777" w:rsidR="00062FAC" w:rsidRPr="00B82233" w:rsidRDefault="00062FAC" w:rsidP="00C91128">
            <w:pPr>
              <w:pStyle w:val="Ttulo3"/>
              <w:ind w:left="0"/>
              <w:jc w:val="both"/>
              <w:rPr>
                <w:color w:val="000000"/>
                <w:szCs w:val="24"/>
              </w:rPr>
            </w:pPr>
            <w:r w:rsidRPr="00B82233">
              <w:rPr>
                <w:color w:val="000000"/>
                <w:szCs w:val="24"/>
              </w:rPr>
              <w:t>n</w:t>
            </w:r>
          </w:p>
        </w:tc>
        <w:tc>
          <w:tcPr>
            <w:tcW w:w="425" w:type="dxa"/>
            <w:shd w:val="clear" w:color="auto" w:fill="auto"/>
          </w:tcPr>
          <w:p w14:paraId="06A678D0" w14:textId="77777777" w:rsidR="00062FAC" w:rsidRPr="00B82233" w:rsidRDefault="00062FAC" w:rsidP="00C91128">
            <w:pPr>
              <w:pStyle w:val="Ttulo3"/>
              <w:ind w:left="0"/>
              <w:jc w:val="both"/>
              <w:rPr>
                <w:color w:val="000000"/>
                <w:szCs w:val="24"/>
              </w:rPr>
            </w:pPr>
            <w:r w:rsidRPr="00B82233">
              <w:rPr>
                <w:color w:val="000000"/>
                <w:szCs w:val="24"/>
              </w:rPr>
              <w:t>=</w:t>
            </w:r>
          </w:p>
        </w:tc>
        <w:tc>
          <w:tcPr>
            <w:tcW w:w="7371" w:type="dxa"/>
            <w:shd w:val="clear" w:color="auto" w:fill="auto"/>
          </w:tcPr>
          <w:p w14:paraId="3B75747E" w14:textId="77777777" w:rsidR="00062FAC" w:rsidRPr="00B82233" w:rsidRDefault="00062FAC" w:rsidP="00C91128">
            <w:pPr>
              <w:pStyle w:val="Ttulo3"/>
              <w:ind w:left="0"/>
              <w:jc w:val="both"/>
              <w:rPr>
                <w:color w:val="000000"/>
                <w:szCs w:val="24"/>
              </w:rPr>
            </w:pPr>
            <w:r w:rsidRPr="00B82233">
              <w:rPr>
                <w:color w:val="000000"/>
                <w:szCs w:val="24"/>
              </w:rPr>
              <w:t>número total de índices considerados no cálculo, sendo “n” um número inteiro;</w:t>
            </w:r>
          </w:p>
        </w:tc>
      </w:tr>
      <w:tr w:rsidR="00062FAC" w:rsidRPr="00797A8C" w14:paraId="01BD9E73" w14:textId="77777777" w:rsidTr="00C91128">
        <w:tc>
          <w:tcPr>
            <w:tcW w:w="850" w:type="dxa"/>
            <w:shd w:val="clear" w:color="auto" w:fill="auto"/>
          </w:tcPr>
          <w:p w14:paraId="1B0D5572" w14:textId="77777777" w:rsidR="00062FAC" w:rsidRPr="00B82233" w:rsidRDefault="00062FAC" w:rsidP="00C91128">
            <w:pPr>
              <w:pStyle w:val="Ttulo3"/>
              <w:ind w:left="0"/>
              <w:jc w:val="both"/>
              <w:rPr>
                <w:color w:val="000000"/>
                <w:szCs w:val="24"/>
              </w:rPr>
            </w:pPr>
            <w:r w:rsidRPr="00B82233">
              <w:rPr>
                <w:noProof/>
                <w:color w:val="000000"/>
                <w:szCs w:val="24"/>
              </w:rPr>
              <w:drawing>
                <wp:anchor distT="0" distB="0" distL="114300" distR="114300" simplePos="0" relativeHeight="251658240" behindDoc="0" locked="0" layoutInCell="1" allowOverlap="1" wp14:anchorId="5E5F10F5" wp14:editId="001A7C6C">
                  <wp:simplePos x="0" y="0"/>
                  <wp:positionH relativeFrom="column">
                    <wp:posOffset>73660</wp:posOffset>
                  </wp:positionH>
                  <wp:positionV relativeFrom="paragraph">
                    <wp:posOffset>477520</wp:posOffset>
                  </wp:positionV>
                  <wp:extent cx="182245" cy="206375"/>
                  <wp:effectExtent l="0" t="0" r="8255" b="317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 cy="206375"/>
                          </a:xfrm>
                          <a:prstGeom prst="rect">
                            <a:avLst/>
                          </a:prstGeom>
                          <a:noFill/>
                        </pic:spPr>
                      </pic:pic>
                    </a:graphicData>
                  </a:graphic>
                  <wp14:sizeRelH relativeFrom="page">
                    <wp14:pctWidth>0</wp14:pctWidth>
                  </wp14:sizeRelH>
                  <wp14:sizeRelV relativeFrom="page">
                    <wp14:pctHeight>0</wp14:pctHeight>
                  </wp14:sizeRelV>
                </wp:anchor>
              </w:drawing>
            </w:r>
          </w:p>
        </w:tc>
        <w:tc>
          <w:tcPr>
            <w:tcW w:w="425" w:type="dxa"/>
            <w:shd w:val="clear" w:color="auto" w:fill="auto"/>
          </w:tcPr>
          <w:p w14:paraId="6993B7E6" w14:textId="77777777" w:rsidR="00062FAC" w:rsidRPr="00B82233" w:rsidRDefault="00062FAC" w:rsidP="00C91128">
            <w:pPr>
              <w:pStyle w:val="Ttulo3"/>
              <w:ind w:left="0"/>
              <w:jc w:val="both"/>
              <w:rPr>
                <w:color w:val="000000"/>
                <w:szCs w:val="24"/>
              </w:rPr>
            </w:pPr>
            <w:r w:rsidRPr="00B82233">
              <w:rPr>
                <w:color w:val="000000"/>
                <w:szCs w:val="24"/>
              </w:rPr>
              <w:t>=</w:t>
            </w:r>
          </w:p>
        </w:tc>
        <w:tc>
          <w:tcPr>
            <w:tcW w:w="7371" w:type="dxa"/>
            <w:shd w:val="clear" w:color="auto" w:fill="auto"/>
          </w:tcPr>
          <w:p w14:paraId="6302E950" w14:textId="77777777" w:rsidR="00062FAC" w:rsidRPr="00B82233" w:rsidRDefault="00062FAC" w:rsidP="00C91128">
            <w:pPr>
              <w:pStyle w:val="Ttulo3"/>
              <w:ind w:left="0"/>
              <w:jc w:val="both"/>
              <w:rPr>
                <w:color w:val="000000"/>
                <w:szCs w:val="24"/>
              </w:rPr>
            </w:pPr>
            <w:r w:rsidRPr="00B82233">
              <w:rPr>
                <w:color w:val="000000"/>
                <w:szCs w:val="24"/>
              </w:rPr>
              <w:t>corresponde à variação percentual do Índice Nacional de Preços ao Consumidor Amplo (IPCA), apurado e divulgado pela Fundação Instituto Brasileiro de Geografia e Estatística – IBGE (“IPCA”), do segundo mês anterior ao mês de atualização, caso a atualização seja em data anterior à data de aniversário. Na própria data de aniversário ou após, corresponderá ao valor da variação percentual do IPCA do mês anterior ao de atualização;</w:t>
            </w:r>
          </w:p>
        </w:tc>
      </w:tr>
      <w:tr w:rsidR="00062FAC" w:rsidRPr="00797A8C" w14:paraId="5456B4B1" w14:textId="77777777" w:rsidTr="00C91128">
        <w:trPr>
          <w:trHeight w:val="1421"/>
        </w:trPr>
        <w:tc>
          <w:tcPr>
            <w:tcW w:w="850" w:type="dxa"/>
            <w:shd w:val="clear" w:color="auto" w:fill="auto"/>
          </w:tcPr>
          <w:p w14:paraId="627442F8" w14:textId="77777777" w:rsidR="00062FAC" w:rsidRPr="00B82233" w:rsidRDefault="00062FAC" w:rsidP="00C91128">
            <w:pPr>
              <w:pStyle w:val="Ttulo3"/>
              <w:ind w:left="0"/>
              <w:jc w:val="both"/>
              <w:rPr>
                <w:color w:val="000000"/>
                <w:szCs w:val="24"/>
              </w:rPr>
            </w:pPr>
            <w:r w:rsidRPr="00B82233">
              <w:rPr>
                <w:color w:val="000000"/>
                <w:szCs w:val="24"/>
              </w:rPr>
              <w:t>Dup</w:t>
            </w:r>
          </w:p>
        </w:tc>
        <w:tc>
          <w:tcPr>
            <w:tcW w:w="425" w:type="dxa"/>
            <w:shd w:val="clear" w:color="auto" w:fill="auto"/>
          </w:tcPr>
          <w:p w14:paraId="213A0FD8" w14:textId="77777777" w:rsidR="00062FAC" w:rsidRPr="00B82233" w:rsidRDefault="00062FAC" w:rsidP="00C91128">
            <w:pPr>
              <w:pStyle w:val="Ttulo3"/>
              <w:ind w:left="0"/>
              <w:jc w:val="both"/>
              <w:rPr>
                <w:color w:val="000000"/>
                <w:szCs w:val="24"/>
              </w:rPr>
            </w:pPr>
            <w:r w:rsidRPr="00B82233">
              <w:rPr>
                <w:color w:val="000000"/>
                <w:szCs w:val="24"/>
              </w:rPr>
              <w:t>=</w:t>
            </w:r>
          </w:p>
        </w:tc>
        <w:tc>
          <w:tcPr>
            <w:tcW w:w="7371" w:type="dxa"/>
            <w:shd w:val="clear" w:color="auto" w:fill="auto"/>
          </w:tcPr>
          <w:p w14:paraId="4B7EA397" w14:textId="77777777" w:rsidR="00062FAC" w:rsidRPr="00B82233" w:rsidRDefault="00062FAC" w:rsidP="00C91128">
            <w:pPr>
              <w:pStyle w:val="Ttulo3"/>
              <w:ind w:left="0"/>
              <w:jc w:val="both"/>
              <w:rPr>
                <w:color w:val="000000"/>
                <w:szCs w:val="24"/>
              </w:rPr>
            </w:pPr>
            <w:r w:rsidRPr="00B82233">
              <w:rPr>
                <w:color w:val="000000"/>
                <w:szCs w:val="24"/>
              </w:rPr>
              <w:t>número de Dias Úteis compreendidos entre (i) a Data de Desembolso para o primeiro mês de atualização (inclusive) ou (ii) a data de aniversário imediatamente anterior (inclusive), para os demais meses, e (i) a data de cálculo (exclusive) ou (ii) a data de aniversário subsequente (exclusive), a que for menor, limitado a “dut”, sendo “dup” um número inteiro;</w:t>
            </w:r>
          </w:p>
        </w:tc>
      </w:tr>
      <w:tr w:rsidR="00062FAC" w:rsidRPr="00797A8C" w14:paraId="24FBA5C8" w14:textId="77777777" w:rsidTr="00C91128">
        <w:trPr>
          <w:trHeight w:val="719"/>
        </w:trPr>
        <w:tc>
          <w:tcPr>
            <w:tcW w:w="850" w:type="dxa"/>
            <w:shd w:val="clear" w:color="auto" w:fill="auto"/>
          </w:tcPr>
          <w:p w14:paraId="1D5EC62A" w14:textId="77777777" w:rsidR="00062FAC" w:rsidRPr="00B82233" w:rsidRDefault="00062FAC" w:rsidP="00C91128">
            <w:pPr>
              <w:pStyle w:val="Ttulo3"/>
              <w:ind w:left="0"/>
              <w:jc w:val="both"/>
              <w:rPr>
                <w:color w:val="000000"/>
                <w:szCs w:val="24"/>
              </w:rPr>
            </w:pPr>
            <w:r w:rsidRPr="00B82233">
              <w:rPr>
                <w:color w:val="000000"/>
                <w:szCs w:val="24"/>
              </w:rPr>
              <w:t>Dut</w:t>
            </w:r>
          </w:p>
        </w:tc>
        <w:tc>
          <w:tcPr>
            <w:tcW w:w="425" w:type="dxa"/>
            <w:shd w:val="clear" w:color="auto" w:fill="auto"/>
          </w:tcPr>
          <w:p w14:paraId="57E50742" w14:textId="77777777" w:rsidR="00062FAC" w:rsidRPr="00B82233" w:rsidRDefault="00062FAC" w:rsidP="00C91128">
            <w:pPr>
              <w:pStyle w:val="Ttulo3"/>
              <w:ind w:left="0"/>
              <w:jc w:val="both"/>
              <w:rPr>
                <w:color w:val="000000"/>
                <w:szCs w:val="24"/>
              </w:rPr>
            </w:pPr>
            <w:r w:rsidRPr="00B82233">
              <w:rPr>
                <w:color w:val="000000"/>
                <w:szCs w:val="24"/>
              </w:rPr>
              <w:t>=</w:t>
            </w:r>
          </w:p>
        </w:tc>
        <w:tc>
          <w:tcPr>
            <w:tcW w:w="7371" w:type="dxa"/>
            <w:shd w:val="clear" w:color="auto" w:fill="auto"/>
          </w:tcPr>
          <w:p w14:paraId="08544C31" w14:textId="77777777" w:rsidR="00062FAC" w:rsidRPr="00B82233" w:rsidRDefault="00062FAC" w:rsidP="00C91128">
            <w:pPr>
              <w:pStyle w:val="Ttulo3"/>
              <w:ind w:left="0"/>
              <w:jc w:val="both"/>
              <w:rPr>
                <w:color w:val="000000"/>
                <w:szCs w:val="24"/>
              </w:rPr>
            </w:pPr>
            <w:r w:rsidRPr="00B82233">
              <w:rPr>
                <w:color w:val="000000"/>
                <w:szCs w:val="24"/>
              </w:rPr>
              <w:t>número de Dias Úteis contidos entre a Data de Aniversário anterior (inclusive) e a Data de Aniversário subsequente (exclusive), sendo "dut" um número inteiro.</w:t>
            </w:r>
          </w:p>
        </w:tc>
      </w:tr>
    </w:tbl>
    <w:p w14:paraId="6513A30D" w14:textId="77777777" w:rsidR="00062FAC" w:rsidRPr="00B82233" w:rsidRDefault="00062FAC" w:rsidP="00062FAC">
      <w:pPr>
        <w:pStyle w:val="BNDES"/>
        <w:rPr>
          <w:rFonts w:cs="Arial"/>
          <w:szCs w:val="24"/>
        </w:rPr>
      </w:pPr>
    </w:p>
    <w:p w14:paraId="1B55B3EF" w14:textId="2D6F364E" w:rsidR="00062FAC" w:rsidRPr="00B82233" w:rsidRDefault="00C92953" w:rsidP="00062FAC">
      <w:pPr>
        <w:pStyle w:val="BNDES"/>
        <w:rPr>
          <w:rFonts w:cs="Arial"/>
          <w:szCs w:val="24"/>
        </w:rPr>
      </w:pPr>
      <w:r w:rsidRPr="00B82233">
        <w:rPr>
          <w:rFonts w:cs="Arial"/>
          <w:szCs w:val="24"/>
        </w:rPr>
        <w:t xml:space="preserve">O montante </w:t>
      </w:r>
      <w:r w:rsidR="00062FAC" w:rsidRPr="00B82233">
        <w:rPr>
          <w:rFonts w:cs="Arial"/>
          <w:szCs w:val="24"/>
        </w:rPr>
        <w:t xml:space="preserve">apurado nos termos do inciso I, </w:t>
      </w:r>
      <w:r w:rsidR="00BE67DE">
        <w:rPr>
          <w:rFonts w:cs="Arial"/>
          <w:szCs w:val="24"/>
        </w:rPr>
        <w:t xml:space="preserve">que </w:t>
      </w:r>
      <w:r w:rsidR="00062FAC" w:rsidRPr="00B82233">
        <w:rPr>
          <w:rFonts w:cs="Arial"/>
          <w:szCs w:val="24"/>
        </w:rPr>
        <w:t xml:space="preserve">será capitalizado, incorporando-se ao principal da dívida, </w:t>
      </w:r>
      <w:r w:rsidRPr="00B82233">
        <w:rPr>
          <w:rFonts w:cs="Arial"/>
          <w:szCs w:val="24"/>
        </w:rPr>
        <w:t>se</w:t>
      </w:r>
      <w:r w:rsidR="00E86943" w:rsidRPr="00B82233">
        <w:rPr>
          <w:rFonts w:cs="Arial"/>
          <w:szCs w:val="24"/>
        </w:rPr>
        <w:t>rá</w:t>
      </w:r>
      <w:r w:rsidR="00062FAC" w:rsidRPr="00B82233">
        <w:rPr>
          <w:rFonts w:cs="Arial"/>
          <w:szCs w:val="24"/>
        </w:rPr>
        <w:t xml:space="preserve"> exigível nos termos da Cláusula      ....... (</w:t>
      </w:r>
      <w:r w:rsidR="00BE67DE">
        <w:rPr>
          <w:rFonts w:cs="Arial"/>
          <w:szCs w:val="24"/>
        </w:rPr>
        <w:t xml:space="preserve">“Prazo de </w:t>
      </w:r>
      <w:r w:rsidR="00062FAC" w:rsidRPr="00B82233">
        <w:rPr>
          <w:rFonts w:cs="Arial"/>
          <w:szCs w:val="24"/>
        </w:rPr>
        <w:t>Amortização</w:t>
      </w:r>
      <w:r w:rsidR="00BE67DE" w:rsidRPr="005233D4">
        <w:rPr>
          <w:rFonts w:cs="Arial"/>
          <w:szCs w:val="24"/>
        </w:rPr>
        <w:t>”</w:t>
      </w:r>
      <w:r w:rsidR="00062FAC" w:rsidRPr="00B82233">
        <w:rPr>
          <w:rFonts w:cs="Arial"/>
          <w:szCs w:val="24"/>
        </w:rPr>
        <w:t xml:space="preserve">). </w:t>
      </w:r>
    </w:p>
    <w:p w14:paraId="41E49D48" w14:textId="77777777" w:rsidR="00062FAC" w:rsidRPr="00B82233" w:rsidRDefault="00062FAC" w:rsidP="00062FAC">
      <w:pPr>
        <w:pStyle w:val="BNDES"/>
        <w:rPr>
          <w:rFonts w:cs="Arial"/>
          <w:szCs w:val="24"/>
        </w:rPr>
      </w:pPr>
    </w:p>
    <w:p w14:paraId="7A72BB9A" w14:textId="15EF241A" w:rsidR="00062FAC" w:rsidRPr="00B82233" w:rsidRDefault="00062FAC" w:rsidP="00062FAC">
      <w:pPr>
        <w:pStyle w:val="BNDES"/>
        <w:rPr>
          <w:rFonts w:cs="Arial"/>
          <w:szCs w:val="24"/>
        </w:rPr>
      </w:pPr>
      <w:r w:rsidRPr="00B82233">
        <w:rPr>
          <w:rFonts w:cs="Arial"/>
          <w:szCs w:val="24"/>
        </w:rPr>
        <w:t xml:space="preserve">II – </w:t>
      </w:r>
      <w:r w:rsidRPr="00B82233">
        <w:rPr>
          <w:rFonts w:cs="Arial"/>
          <w:szCs w:val="24"/>
          <w:u w:val="single"/>
        </w:rPr>
        <w:t>Demais parcelas da Taxa de Juros referida no “caput”</w:t>
      </w:r>
      <w:r w:rsidR="00EE7CDE">
        <w:rPr>
          <w:rFonts w:cs="Arial"/>
          <w:szCs w:val="24"/>
        </w:rPr>
        <w:t>:</w:t>
      </w:r>
    </w:p>
    <w:p w14:paraId="1E940B18" w14:textId="77777777" w:rsidR="00062FAC" w:rsidRPr="00B82233" w:rsidRDefault="00062FAC" w:rsidP="00062FAC">
      <w:pPr>
        <w:pStyle w:val="BNDES"/>
        <w:rPr>
          <w:rFonts w:cs="Arial"/>
          <w:szCs w:val="24"/>
        </w:rPr>
      </w:pPr>
      <w:r w:rsidRPr="00B82233">
        <w:rPr>
          <w:rFonts w:cs="Arial"/>
          <w:szCs w:val="24"/>
        </w:rPr>
        <w:tab/>
      </w:r>
    </w:p>
    <w:p w14:paraId="307A4CD8" w14:textId="77777777" w:rsidR="00062FAC" w:rsidRPr="00B82233" w:rsidRDefault="00062FAC" w:rsidP="00062FAC">
      <w:pPr>
        <w:pStyle w:val="BNDES"/>
        <w:rPr>
          <w:rFonts w:cs="Arial"/>
          <w:szCs w:val="24"/>
        </w:rPr>
      </w:pPr>
      <w:r w:rsidRPr="00B82233">
        <w:rPr>
          <w:rFonts w:cs="Arial"/>
          <w:szCs w:val="24"/>
        </w:rPr>
        <w:t xml:space="preserve">As demais parcelas da Taxa de Juros referida no “caput” incidirão com base em um ano calendário de 252 (duzentos e cinquenta e dois) Dias Úteis, calculado de forma </w:t>
      </w:r>
      <w:r w:rsidRPr="00B82233">
        <w:rPr>
          <w:rFonts w:cs="Arial"/>
          <w:i/>
          <w:szCs w:val="24"/>
        </w:rPr>
        <w:t>pro rata temporis</w:t>
      </w:r>
      <w:r w:rsidRPr="00B82233">
        <w:rPr>
          <w:rFonts w:cs="Arial"/>
          <w:szCs w:val="24"/>
        </w:rPr>
        <w:t>, em regime de capitalização composta, de acordo com a seguinte fórmula (“Remuneração”):</w:t>
      </w:r>
    </w:p>
    <w:p w14:paraId="5EE2CBFD" w14:textId="77777777" w:rsidR="00062FAC" w:rsidRPr="00B82233" w:rsidRDefault="00062FAC" w:rsidP="00062FAC">
      <w:pPr>
        <w:pStyle w:val="BNDES"/>
        <w:rPr>
          <w:rFonts w:cs="Arial"/>
          <w:szCs w:val="24"/>
        </w:rPr>
      </w:pPr>
    </w:p>
    <w:p w14:paraId="3DB89ABA" w14:textId="77777777" w:rsidR="00062FAC" w:rsidRPr="00B82233" w:rsidRDefault="00062FAC" w:rsidP="00062FAC">
      <w:pPr>
        <w:pStyle w:val="BNDES"/>
        <w:rPr>
          <w:rFonts w:cs="Arial"/>
          <w:szCs w:val="24"/>
        </w:rPr>
      </w:pPr>
    </w:p>
    <w:p w14:paraId="6E14A809" w14:textId="1E832003" w:rsidR="00062FAC" w:rsidRPr="00B82233" w:rsidRDefault="00062FAC" w:rsidP="00062FAC">
      <w:pPr>
        <w:pStyle w:val="BNDES"/>
        <w:ind w:left="993"/>
        <w:rPr>
          <w:rFonts w:cs="Arial"/>
          <w:szCs w:val="24"/>
        </w:rPr>
      </w:pPr>
      <w:r w:rsidRPr="00B82233">
        <w:rPr>
          <w:rFonts w:cs="Arial"/>
          <w:szCs w:val="24"/>
        </w:rPr>
        <w:t>JU = SD x (FatorJuros-1)</w:t>
      </w:r>
    </w:p>
    <w:p w14:paraId="297F52A3" w14:textId="77777777" w:rsidR="00062FAC" w:rsidRPr="00B82233" w:rsidRDefault="00062FAC" w:rsidP="00062FAC">
      <w:pPr>
        <w:pStyle w:val="BNDES"/>
        <w:rPr>
          <w:rFonts w:cs="Arial"/>
          <w:szCs w:val="24"/>
        </w:rPr>
      </w:pPr>
    </w:p>
    <w:p w14:paraId="14920A50" w14:textId="77777777" w:rsidR="00062FAC" w:rsidRPr="00B82233" w:rsidRDefault="003E41AE" w:rsidP="00062FAC">
      <w:pPr>
        <w:pStyle w:val="BNDES"/>
        <w:rPr>
          <w:rFonts w:cs="Arial"/>
          <w:szCs w:val="24"/>
        </w:rPr>
      </w:pPr>
      <w:r w:rsidRPr="00B82233">
        <w:rPr>
          <w:rFonts w:cs="Arial"/>
          <w:szCs w:val="24"/>
        </w:rPr>
        <w:t>O</w:t>
      </w:r>
      <w:r w:rsidR="00062FAC" w:rsidRPr="00B82233">
        <w:rPr>
          <w:rFonts w:cs="Arial"/>
          <w:szCs w:val="24"/>
        </w:rPr>
        <w:t>nde:</w:t>
      </w:r>
    </w:p>
    <w:p w14:paraId="41A26366" w14:textId="77777777" w:rsidR="00062FAC" w:rsidRPr="00B82233" w:rsidRDefault="00062FAC" w:rsidP="00062FAC">
      <w:pPr>
        <w:pStyle w:val="BNDES"/>
        <w:rPr>
          <w:rFonts w:cs="Arial"/>
          <w:szCs w:val="24"/>
        </w:rPr>
      </w:pPr>
    </w:p>
    <w:p w14:paraId="0DCC0CB6" w14:textId="77777777" w:rsidR="00062FAC" w:rsidRPr="00B82233" w:rsidRDefault="00062FAC" w:rsidP="003E41AE">
      <w:pPr>
        <w:pStyle w:val="BNDES"/>
        <w:rPr>
          <w:rFonts w:cs="Arial"/>
          <w:szCs w:val="24"/>
        </w:rPr>
      </w:pPr>
      <w:r w:rsidRPr="00B82233">
        <w:rPr>
          <w:rFonts w:cs="Arial"/>
          <w:b/>
          <w:szCs w:val="24"/>
        </w:rPr>
        <w:t>JU:</w:t>
      </w:r>
      <w:r w:rsidRPr="00B82233">
        <w:rPr>
          <w:rFonts w:cs="Arial"/>
          <w:b/>
          <w:szCs w:val="24"/>
        </w:rPr>
        <w:tab/>
      </w:r>
      <w:r w:rsidRPr="00B82233">
        <w:rPr>
          <w:rFonts w:cs="Arial"/>
          <w:szCs w:val="24"/>
        </w:rPr>
        <w:t>corresponde à Remuneração acumulada no período, calculada com [2] (duas) casas decimais com arredondamento, devida no final de cada Período de Juros;</w:t>
      </w:r>
    </w:p>
    <w:p w14:paraId="68104E9F" w14:textId="77777777" w:rsidR="00062FAC" w:rsidRPr="00B82233" w:rsidRDefault="00062FAC" w:rsidP="00062FAC">
      <w:pPr>
        <w:pStyle w:val="BNDES"/>
        <w:rPr>
          <w:rFonts w:cs="Arial"/>
          <w:b/>
          <w:szCs w:val="24"/>
        </w:rPr>
      </w:pPr>
    </w:p>
    <w:p w14:paraId="38967B91" w14:textId="276FC61E" w:rsidR="00E86943" w:rsidRPr="00B82233" w:rsidRDefault="00E86943" w:rsidP="00B82233">
      <w:pPr>
        <w:pStyle w:val="BNDES"/>
        <w:rPr>
          <w:rFonts w:cs="Arial"/>
          <w:b/>
          <w:szCs w:val="24"/>
        </w:rPr>
      </w:pPr>
      <w:r w:rsidRPr="00B82233">
        <w:rPr>
          <w:rFonts w:cs="Arial"/>
          <w:b/>
          <w:szCs w:val="24"/>
        </w:rPr>
        <w:lastRenderedPageBreak/>
        <w:t xml:space="preserve">SD:  </w:t>
      </w:r>
      <w:r w:rsidRPr="00B82233">
        <w:rPr>
          <w:rFonts w:cs="Arial"/>
          <w:szCs w:val="24"/>
        </w:rPr>
        <w:t>corresponde ao saldo devedor no primeiro dia do Período de Juros com [2] (duas) casas decimais, com arredondamento;</w:t>
      </w:r>
    </w:p>
    <w:p w14:paraId="4C03D340" w14:textId="77777777" w:rsidR="00E86943" w:rsidRPr="00B82233" w:rsidRDefault="00E86943" w:rsidP="00062FAC">
      <w:pPr>
        <w:pStyle w:val="BNDES"/>
        <w:rPr>
          <w:rFonts w:cs="Arial"/>
          <w:b/>
          <w:szCs w:val="24"/>
        </w:rPr>
      </w:pPr>
    </w:p>
    <w:p w14:paraId="49CC2AE5" w14:textId="77777777" w:rsidR="00E86943" w:rsidRPr="00B82233" w:rsidRDefault="00E86943" w:rsidP="00062FAC">
      <w:pPr>
        <w:pStyle w:val="BNDES"/>
        <w:rPr>
          <w:rFonts w:cs="Arial"/>
          <w:b/>
          <w:szCs w:val="24"/>
        </w:rPr>
      </w:pPr>
    </w:p>
    <w:p w14:paraId="54A525EB" w14:textId="77777777" w:rsidR="00062FAC" w:rsidRPr="00B82233" w:rsidRDefault="00062FAC" w:rsidP="003E41AE">
      <w:pPr>
        <w:pStyle w:val="BNDES"/>
        <w:rPr>
          <w:rFonts w:cs="Arial"/>
          <w:b/>
          <w:szCs w:val="24"/>
        </w:rPr>
      </w:pPr>
      <w:r w:rsidRPr="00B82233">
        <w:rPr>
          <w:rFonts w:cs="Arial"/>
          <w:b/>
          <w:szCs w:val="24"/>
        </w:rPr>
        <w:t xml:space="preserve">Fator Juros: </w:t>
      </w:r>
      <w:r w:rsidRPr="00B82233">
        <w:rPr>
          <w:rFonts w:cs="Arial"/>
          <w:b/>
          <w:szCs w:val="24"/>
        </w:rPr>
        <w:tab/>
      </w:r>
      <w:r w:rsidRPr="00B82233">
        <w:rPr>
          <w:rFonts w:cs="Arial"/>
          <w:szCs w:val="24"/>
        </w:rPr>
        <w:t>fator de juros apurado de acordo com a seguinte fórmula:</w:t>
      </w:r>
    </w:p>
    <w:p w14:paraId="5EAC8162" w14:textId="77777777" w:rsidR="00062FAC" w:rsidRPr="00B82233" w:rsidRDefault="00062FAC" w:rsidP="00062FAC">
      <w:pPr>
        <w:pStyle w:val="BNDES"/>
        <w:ind w:left="993"/>
        <w:rPr>
          <w:rFonts w:cs="Arial"/>
          <w:szCs w:val="24"/>
        </w:rPr>
      </w:pPr>
    </w:p>
    <w:p w14:paraId="1AEC84B7" w14:textId="77777777" w:rsidR="00062FAC" w:rsidRPr="00B82233" w:rsidRDefault="00062FAC" w:rsidP="003E41AE">
      <w:pPr>
        <w:pStyle w:val="BNDES"/>
        <w:jc w:val="center"/>
        <w:rPr>
          <w:rFonts w:cs="Arial"/>
          <w:szCs w:val="24"/>
        </w:rPr>
      </w:pPr>
      <w:r w:rsidRPr="00B82233">
        <w:rPr>
          <w:rFonts w:cs="Arial"/>
          <w:szCs w:val="24"/>
        </w:rPr>
        <w:t>FatorJuros = (FatorTLPpré x FatorSpread)</w:t>
      </w:r>
    </w:p>
    <w:p w14:paraId="7EAC1A79" w14:textId="77777777" w:rsidR="00062FAC" w:rsidRPr="00B82233" w:rsidRDefault="00062FAC" w:rsidP="00062FAC">
      <w:pPr>
        <w:pStyle w:val="BNDES"/>
        <w:rPr>
          <w:rFonts w:cs="Arial"/>
          <w:szCs w:val="24"/>
        </w:rPr>
      </w:pPr>
    </w:p>
    <w:p w14:paraId="2B80846D" w14:textId="77777777" w:rsidR="00062FAC" w:rsidRPr="00B82233" w:rsidRDefault="00062FAC" w:rsidP="00062FAC">
      <w:pPr>
        <w:pStyle w:val="BNDES"/>
        <w:rPr>
          <w:rFonts w:cs="Arial"/>
          <w:szCs w:val="24"/>
        </w:rPr>
      </w:pPr>
      <w:r w:rsidRPr="00B82233">
        <w:rPr>
          <w:rFonts w:cs="Arial"/>
          <w:szCs w:val="24"/>
        </w:rPr>
        <w:t>Onde:</w:t>
      </w:r>
    </w:p>
    <w:p w14:paraId="7C6515CC" w14:textId="77777777" w:rsidR="00062FAC" w:rsidRPr="00B82233" w:rsidRDefault="00062FAC" w:rsidP="00062FAC">
      <w:pPr>
        <w:pStyle w:val="BNDES"/>
        <w:rPr>
          <w:rFonts w:cs="Arial"/>
          <w:szCs w:val="24"/>
        </w:rPr>
      </w:pPr>
    </w:p>
    <w:p w14:paraId="4D0228E5" w14:textId="77777777" w:rsidR="00062FAC" w:rsidRPr="00B82233" w:rsidRDefault="00062FAC" w:rsidP="003E41AE">
      <w:pPr>
        <w:pStyle w:val="BNDES"/>
        <w:rPr>
          <w:rFonts w:cs="Arial"/>
          <w:szCs w:val="24"/>
        </w:rPr>
      </w:pPr>
      <w:r w:rsidRPr="00B82233">
        <w:rPr>
          <w:rFonts w:cs="Arial"/>
          <w:b/>
          <w:szCs w:val="24"/>
        </w:rPr>
        <w:t xml:space="preserve">Fator TLPpré: </w:t>
      </w:r>
      <w:r w:rsidRPr="00B82233">
        <w:rPr>
          <w:rFonts w:cs="Arial"/>
          <w:b/>
          <w:szCs w:val="24"/>
        </w:rPr>
        <w:tab/>
      </w:r>
      <w:r w:rsidRPr="00B82233">
        <w:rPr>
          <w:rFonts w:cs="Arial"/>
          <w:szCs w:val="24"/>
        </w:rPr>
        <w:t>correspondente à taxa de juros prefixada (J), apurado da seguinte forma:</w:t>
      </w:r>
    </w:p>
    <w:p w14:paraId="66E7C7B5" w14:textId="77777777" w:rsidR="00062FAC" w:rsidRPr="00B82233" w:rsidRDefault="00062FAC" w:rsidP="00062FAC">
      <w:pPr>
        <w:pStyle w:val="BNDES"/>
        <w:rPr>
          <w:rFonts w:cs="Arial"/>
          <w:szCs w:val="24"/>
        </w:rPr>
      </w:pPr>
    </w:p>
    <w:p w14:paraId="64E567E2" w14:textId="77777777" w:rsidR="00062FAC" w:rsidRPr="00B82233" w:rsidRDefault="00062FAC" w:rsidP="00062FAC">
      <w:pPr>
        <w:pStyle w:val="BNDES"/>
        <w:jc w:val="center"/>
        <w:rPr>
          <w:rFonts w:cs="Arial"/>
          <w:szCs w:val="24"/>
        </w:rPr>
      </w:pPr>
      <m:oMathPara>
        <m:oMath>
          <m:r>
            <w:rPr>
              <w:rFonts w:ascii="Cambria Math" w:hAnsi="Cambria Math" w:cs="Arial"/>
              <w:szCs w:val="24"/>
            </w:rPr>
            <m:t>FatorTLPpr</m:t>
          </m:r>
          <m:r>
            <w:rPr>
              <w:rFonts w:ascii="Cambria Math" w:hAnsi="Cambria Math" w:cs="Arial" w:hint="eastAsia"/>
              <w:szCs w:val="24"/>
            </w:rPr>
            <m:t>é</m:t>
          </m:r>
          <m:r>
            <w:rPr>
              <w:rFonts w:ascii="Cambria Math" w:hAnsi="Cambria Math" w:cs="Arial"/>
              <w:szCs w:val="24"/>
            </w:rPr>
            <m:t>=</m:t>
          </m:r>
          <m:sSup>
            <m:sSupPr>
              <m:ctrlPr>
                <w:rPr>
                  <w:rFonts w:ascii="Cambria Math" w:hAnsi="Cambria Math" w:cs="Arial"/>
                  <w:i/>
                  <w:szCs w:val="24"/>
                </w:rPr>
              </m:ctrlPr>
            </m:sSupPr>
            <m:e>
              <m:d>
                <m:dPr>
                  <m:ctrlPr>
                    <w:rPr>
                      <w:rFonts w:ascii="Cambria Math" w:hAnsi="Cambria Math" w:cs="Arial"/>
                      <w:i/>
                      <w:szCs w:val="24"/>
                    </w:rPr>
                  </m:ctrlPr>
                </m:dPr>
                <m:e>
                  <m:r>
                    <w:rPr>
                      <w:rFonts w:ascii="Cambria Math" w:hAnsi="Cambria Math" w:cs="Arial"/>
                      <w:szCs w:val="24"/>
                    </w:rPr>
                    <m:t>1+</m:t>
                  </m:r>
                  <m:r>
                    <m:rPr>
                      <m:sty m:val="p"/>
                    </m:rPr>
                    <w:rPr>
                      <w:rFonts w:ascii="Cambria Math" w:hAnsi="Cambria Math" w:cs="Arial"/>
                      <w:szCs w:val="24"/>
                    </w:rPr>
                    <m:t>J</m:t>
                  </m:r>
                </m:e>
              </m:d>
            </m:e>
            <m:sup>
              <m:f>
                <m:fPr>
                  <m:ctrlPr>
                    <w:rPr>
                      <w:rFonts w:ascii="Cambria Math" w:hAnsi="Cambria Math" w:cs="Arial"/>
                      <w:i/>
                      <w:szCs w:val="24"/>
                    </w:rPr>
                  </m:ctrlPr>
                </m:fPr>
                <m:num>
                  <m:r>
                    <w:rPr>
                      <w:rFonts w:ascii="Cambria Math" w:hAnsi="Cambria Math" w:cs="Arial"/>
                      <w:szCs w:val="24"/>
                    </w:rPr>
                    <m:t>du</m:t>
                  </m:r>
                </m:num>
                <m:den>
                  <m:r>
                    <w:rPr>
                      <w:rFonts w:ascii="Cambria Math" w:hAnsi="Cambria Math" w:cs="Arial"/>
                      <w:szCs w:val="24"/>
                    </w:rPr>
                    <m:t>252</m:t>
                  </m:r>
                </m:den>
              </m:f>
            </m:sup>
          </m:sSup>
        </m:oMath>
      </m:oMathPara>
    </w:p>
    <w:p w14:paraId="4FCF2FFA" w14:textId="77777777" w:rsidR="00062FAC" w:rsidRPr="00B82233" w:rsidRDefault="00062FAC" w:rsidP="00062FAC">
      <w:pPr>
        <w:pStyle w:val="BNDES"/>
        <w:rPr>
          <w:rFonts w:cs="Arial"/>
          <w:szCs w:val="24"/>
        </w:rPr>
      </w:pPr>
    </w:p>
    <w:p w14:paraId="5A7072B8" w14:textId="77777777" w:rsidR="00062FAC" w:rsidRPr="00B82233" w:rsidRDefault="00062FAC" w:rsidP="00062FAC">
      <w:pPr>
        <w:pStyle w:val="BNDES"/>
        <w:rPr>
          <w:rFonts w:cs="Arial"/>
          <w:szCs w:val="24"/>
        </w:rPr>
      </w:pPr>
      <w:r w:rsidRPr="00B82233">
        <w:rPr>
          <w:rFonts w:cs="Arial"/>
          <w:szCs w:val="24"/>
        </w:rPr>
        <w:t>Sendo:</w:t>
      </w:r>
    </w:p>
    <w:p w14:paraId="26EDE213" w14:textId="77777777" w:rsidR="00062FAC" w:rsidRPr="00B82233" w:rsidRDefault="00062FAC" w:rsidP="00062FAC">
      <w:pPr>
        <w:pStyle w:val="BNDES"/>
        <w:rPr>
          <w:rFonts w:cs="Arial"/>
          <w:szCs w:val="24"/>
        </w:rPr>
      </w:pPr>
    </w:p>
    <w:p w14:paraId="0F06B598" w14:textId="77777777" w:rsidR="00062FAC" w:rsidRPr="00B82233" w:rsidRDefault="00062FAC" w:rsidP="003E41AE">
      <w:pPr>
        <w:pStyle w:val="BNDES"/>
        <w:rPr>
          <w:rFonts w:cs="Arial"/>
          <w:szCs w:val="24"/>
        </w:rPr>
      </w:pPr>
      <w:r w:rsidRPr="00B82233">
        <w:rPr>
          <w:rFonts w:cs="Arial"/>
          <w:b/>
          <w:szCs w:val="24"/>
        </w:rPr>
        <w:t xml:space="preserve">J = </w:t>
      </w:r>
      <w:r w:rsidRPr="00B82233">
        <w:rPr>
          <w:rFonts w:cs="Arial"/>
          <w:b/>
          <w:szCs w:val="24"/>
        </w:rPr>
        <w:tab/>
      </w:r>
      <w:r w:rsidRPr="00B82233">
        <w:rPr>
          <w:rFonts w:cs="Arial"/>
          <w:szCs w:val="24"/>
        </w:rPr>
        <w:t>corresponde à taxa de juros prefixada multiplicada pelo fator de ajuste, nos termos do art. 3º da Lei nº 13.483, de 2017, ambos apurados e divulgados pelo Banco Central do Brasil; e</w:t>
      </w:r>
    </w:p>
    <w:p w14:paraId="0F712EA9" w14:textId="77777777" w:rsidR="00062FAC" w:rsidRPr="00B82233" w:rsidRDefault="00062FAC" w:rsidP="00062FAC">
      <w:pPr>
        <w:pStyle w:val="BNDES"/>
        <w:ind w:left="1560" w:hanging="567"/>
        <w:rPr>
          <w:rFonts w:cs="Arial"/>
          <w:szCs w:val="24"/>
        </w:rPr>
      </w:pPr>
    </w:p>
    <w:p w14:paraId="0417C3D8" w14:textId="77777777" w:rsidR="00062FAC" w:rsidRPr="00B82233" w:rsidRDefault="00062FAC" w:rsidP="003E41AE">
      <w:pPr>
        <w:pStyle w:val="BNDES"/>
        <w:rPr>
          <w:rFonts w:cs="Arial"/>
          <w:b/>
          <w:szCs w:val="24"/>
        </w:rPr>
      </w:pPr>
      <w:r w:rsidRPr="00B82233">
        <w:rPr>
          <w:rFonts w:cs="Arial"/>
          <w:b/>
          <w:szCs w:val="24"/>
        </w:rPr>
        <w:t xml:space="preserve">du = </w:t>
      </w:r>
      <w:r w:rsidRPr="00B82233">
        <w:rPr>
          <w:rFonts w:cs="Arial"/>
          <w:b/>
          <w:szCs w:val="24"/>
        </w:rPr>
        <w:tab/>
      </w:r>
      <w:r w:rsidRPr="00B82233">
        <w:rPr>
          <w:rFonts w:cs="Arial"/>
          <w:szCs w:val="24"/>
        </w:rPr>
        <w:t>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1EC0DCA9" w14:textId="77777777" w:rsidR="00062FAC" w:rsidRPr="00B82233" w:rsidRDefault="00062FAC" w:rsidP="00062FAC">
      <w:pPr>
        <w:pStyle w:val="BNDES"/>
        <w:ind w:left="993"/>
        <w:rPr>
          <w:rFonts w:cs="Arial"/>
          <w:szCs w:val="24"/>
        </w:rPr>
      </w:pPr>
    </w:p>
    <w:p w14:paraId="67DDF2CB" w14:textId="77777777" w:rsidR="003E41AE" w:rsidRPr="00B82233" w:rsidRDefault="003E41AE" w:rsidP="00062FAC">
      <w:pPr>
        <w:pStyle w:val="BNDES"/>
        <w:ind w:left="2552" w:hanging="1559"/>
        <w:rPr>
          <w:rFonts w:cs="Arial"/>
          <w:szCs w:val="24"/>
        </w:rPr>
      </w:pPr>
    </w:p>
    <w:p w14:paraId="48B846D0" w14:textId="77777777" w:rsidR="003E41AE" w:rsidRPr="00B82233" w:rsidRDefault="003E41AE" w:rsidP="003E41AE">
      <w:pPr>
        <w:pStyle w:val="BNDES"/>
        <w:rPr>
          <w:rFonts w:cs="Arial"/>
          <w:szCs w:val="24"/>
        </w:rPr>
      </w:pPr>
      <w:r w:rsidRPr="00B82233">
        <w:rPr>
          <w:rFonts w:cs="Arial"/>
          <w:b/>
          <w:szCs w:val="24"/>
        </w:rPr>
        <w:t>Fator Spread:</w:t>
      </w:r>
      <w:r w:rsidRPr="00B82233">
        <w:rPr>
          <w:rFonts w:cs="Arial"/>
          <w:szCs w:val="24"/>
        </w:rPr>
        <w:t xml:space="preserve"> corresponde ao spread do BNDES composto com o spread da Instituição Financeira Credenciada, conforme fórmula abaixo:</w:t>
      </w:r>
    </w:p>
    <w:p w14:paraId="60817712" w14:textId="77777777" w:rsidR="003E41AE" w:rsidRPr="00B82233" w:rsidRDefault="003E41AE" w:rsidP="003E41AE">
      <w:pPr>
        <w:pStyle w:val="BNDES"/>
        <w:rPr>
          <w:rFonts w:cs="Arial"/>
          <w:szCs w:val="24"/>
        </w:rPr>
      </w:pPr>
    </w:p>
    <w:p w14:paraId="61C1E1C0" w14:textId="77777777" w:rsidR="003E41AE" w:rsidRPr="001A66E4" w:rsidRDefault="003E41AE" w:rsidP="003E41AE">
      <w:pPr>
        <w:pStyle w:val="BNDES"/>
        <w:rPr>
          <w:rFonts w:cs="Arial"/>
          <w:sz w:val="22"/>
          <w:szCs w:val="22"/>
        </w:rPr>
      </w:pPr>
      <m:oMathPara>
        <m:oMathParaPr>
          <m:jc m:val="centerGroup"/>
        </m:oMathParaPr>
        <m:oMath>
          <m:r>
            <w:rPr>
              <w:rFonts w:ascii="Cambria Math" w:hAnsi="Cambria Math"/>
              <w:color w:val="000000"/>
              <w:kern w:val="24"/>
              <w:sz w:val="22"/>
              <w:szCs w:val="22"/>
            </w:rPr>
            <m:t>Fator</m:t>
          </m:r>
          <m:r>
            <w:rPr>
              <w:rFonts w:ascii="Cambria Math" w:hAnsi="Cambria Math" w:hint="eastAsia"/>
              <w:color w:val="000000"/>
              <w:kern w:val="24"/>
              <w:sz w:val="22"/>
              <w:szCs w:val="22"/>
            </w:rPr>
            <m:t> </m:t>
          </m:r>
          <m:r>
            <w:rPr>
              <w:rFonts w:ascii="Cambria Math" w:hAnsi="Cambria Math"/>
              <w:color w:val="000000"/>
              <w:kern w:val="24"/>
              <w:sz w:val="22"/>
              <w:szCs w:val="22"/>
            </w:rPr>
            <m:t>Spread=</m:t>
          </m:r>
          <m:sSup>
            <m:sSupPr>
              <m:ctrlPr>
                <w:rPr>
                  <w:rFonts w:ascii="Cambria Math" w:hAnsi="Cambria Math" w:cs="Arial"/>
                  <w:i/>
                  <w:iCs/>
                  <w:color w:val="000000"/>
                  <w:kern w:val="24"/>
                  <w:szCs w:val="24"/>
                </w:rPr>
              </m:ctrlPr>
            </m:sSupPr>
            <m:e>
              <m:d>
                <m:dPr>
                  <m:ctrlPr>
                    <w:rPr>
                      <w:rFonts w:ascii="Cambria Math" w:hAnsi="Cambria Math" w:cs="Arial"/>
                      <w:i/>
                      <w:iCs/>
                      <w:color w:val="000000"/>
                      <w:kern w:val="24"/>
                      <w:szCs w:val="24"/>
                    </w:rPr>
                  </m:ctrlPr>
                </m:dPr>
                <m:e>
                  <m:r>
                    <w:rPr>
                      <w:rFonts w:ascii="Cambria Math" w:hAnsi="Cambria Math"/>
                      <w:color w:val="000000"/>
                      <w:kern w:val="24"/>
                      <w:sz w:val="22"/>
                      <w:szCs w:val="22"/>
                    </w:rPr>
                    <m:t>1+Spread</m:t>
                  </m:r>
                  <m:r>
                    <w:rPr>
                      <w:rFonts w:ascii="Cambria Math" w:hAnsi="Cambria Math" w:hint="eastAsia"/>
                      <w:color w:val="000000"/>
                      <w:kern w:val="24"/>
                      <w:sz w:val="22"/>
                      <w:szCs w:val="22"/>
                    </w:rPr>
                    <m:t> </m:t>
                  </m:r>
                  <m:r>
                    <w:rPr>
                      <w:rFonts w:ascii="Cambria Math" w:hAnsi="Cambria Math"/>
                      <w:color w:val="000000"/>
                      <w:kern w:val="24"/>
                      <w:sz w:val="22"/>
                      <w:szCs w:val="22"/>
                    </w:rPr>
                    <m:t>BNDES</m:t>
                  </m:r>
                </m:e>
              </m:d>
            </m:e>
            <m:sup>
              <m:f>
                <m:fPr>
                  <m:ctrlPr>
                    <w:rPr>
                      <w:rFonts w:ascii="Cambria Math" w:hAnsi="Cambria Math" w:cs="Arial"/>
                      <w:i/>
                      <w:iCs/>
                      <w:color w:val="000000"/>
                      <w:kern w:val="24"/>
                      <w:szCs w:val="24"/>
                    </w:rPr>
                  </m:ctrlPr>
                </m:fPr>
                <m:num>
                  <m:r>
                    <w:rPr>
                      <w:rFonts w:ascii="Cambria Math" w:hAnsi="Cambria Math"/>
                      <w:color w:val="000000"/>
                      <w:kern w:val="24"/>
                      <w:sz w:val="22"/>
                      <w:szCs w:val="22"/>
                    </w:rPr>
                    <m:t>du</m:t>
                  </m:r>
                </m:num>
                <m:den>
                  <m:r>
                    <w:rPr>
                      <w:rFonts w:ascii="Cambria Math" w:hAnsi="Cambria Math"/>
                      <w:color w:val="000000"/>
                      <w:kern w:val="24"/>
                      <w:sz w:val="22"/>
                      <w:szCs w:val="22"/>
                    </w:rPr>
                    <m:t>252</m:t>
                  </m:r>
                </m:den>
              </m:f>
            </m:sup>
          </m:sSup>
          <m:r>
            <w:rPr>
              <w:rFonts w:ascii="Cambria Math" w:hAnsi="Cambria Math" w:hint="eastAsia"/>
              <w:color w:val="000000"/>
              <w:kern w:val="24"/>
              <w:sz w:val="22"/>
              <w:szCs w:val="22"/>
            </w:rPr>
            <m:t>  </m:t>
          </m:r>
          <m:r>
            <w:rPr>
              <w:rFonts w:ascii="Cambria Math" w:hAnsi="Cambria Math"/>
              <w:color w:val="000000"/>
              <w:kern w:val="24"/>
              <w:sz w:val="22"/>
              <w:szCs w:val="22"/>
            </w:rPr>
            <m:t>x</m:t>
          </m:r>
          <m:r>
            <w:rPr>
              <w:rFonts w:ascii="Cambria Math" w:hAnsi="Cambria Math" w:hint="eastAsia"/>
              <w:color w:val="000000"/>
              <w:kern w:val="24"/>
              <w:sz w:val="22"/>
              <w:szCs w:val="22"/>
            </w:rPr>
            <m:t>  </m:t>
          </m:r>
          <m:sSup>
            <m:sSupPr>
              <m:ctrlPr>
                <w:rPr>
                  <w:rFonts w:ascii="Cambria Math" w:hAnsi="Cambria Math" w:cs="Arial"/>
                  <w:i/>
                  <w:iCs/>
                  <w:color w:val="000000"/>
                  <w:kern w:val="24"/>
                  <w:szCs w:val="24"/>
                </w:rPr>
              </m:ctrlPr>
            </m:sSupPr>
            <m:e>
              <m:d>
                <m:dPr>
                  <m:ctrlPr>
                    <w:rPr>
                      <w:rFonts w:ascii="Cambria Math" w:hAnsi="Cambria Math" w:cs="Arial"/>
                      <w:i/>
                      <w:iCs/>
                      <w:color w:val="000000"/>
                      <w:kern w:val="24"/>
                      <w:szCs w:val="24"/>
                    </w:rPr>
                  </m:ctrlPr>
                </m:dPr>
                <m:e>
                  <m:r>
                    <w:rPr>
                      <w:rFonts w:ascii="Cambria Math" w:hAnsi="Cambria Math"/>
                      <w:color w:val="000000"/>
                      <w:kern w:val="24"/>
                      <w:sz w:val="22"/>
                      <w:szCs w:val="22"/>
                    </w:rPr>
                    <m:t>1+Spread</m:t>
                  </m:r>
                  <m:r>
                    <w:rPr>
                      <w:rFonts w:ascii="Cambria Math" w:hAnsi="Cambria Math" w:hint="eastAsia"/>
                      <w:color w:val="000000"/>
                      <w:kern w:val="24"/>
                      <w:sz w:val="22"/>
                      <w:szCs w:val="22"/>
                    </w:rPr>
                    <m:t> </m:t>
                  </m:r>
                  <m:r>
                    <w:rPr>
                      <w:rFonts w:ascii="Cambria Math" w:hAnsi="Cambria Math"/>
                      <w:color w:val="000000"/>
                      <w:kern w:val="24"/>
                      <w:sz w:val="22"/>
                      <w:szCs w:val="22"/>
                    </w:rPr>
                    <m:t>Institui</m:t>
                  </m:r>
                  <m:r>
                    <w:rPr>
                      <w:rFonts w:ascii="Cambria Math" w:hAnsi="Cambria Math" w:hint="eastAsia"/>
                      <w:color w:val="000000"/>
                      <w:kern w:val="24"/>
                      <w:sz w:val="22"/>
                      <w:szCs w:val="22"/>
                    </w:rPr>
                    <m:t>çã</m:t>
                  </m:r>
                  <m:r>
                    <w:rPr>
                      <w:rFonts w:ascii="Cambria Math" w:hAnsi="Cambria Math"/>
                      <w:color w:val="000000"/>
                      <w:kern w:val="24"/>
                      <w:sz w:val="22"/>
                      <w:szCs w:val="22"/>
                    </w:rPr>
                    <m:t>o</m:t>
                  </m:r>
                  <m:r>
                    <w:rPr>
                      <w:rFonts w:ascii="Cambria Math" w:hAnsi="Cambria Math" w:hint="eastAsia"/>
                      <w:color w:val="000000"/>
                      <w:kern w:val="24"/>
                      <w:sz w:val="22"/>
                      <w:szCs w:val="22"/>
                    </w:rPr>
                    <m:t> </m:t>
                  </m:r>
                  <m:r>
                    <w:rPr>
                      <w:rFonts w:ascii="Cambria Math" w:hAnsi="Cambria Math"/>
                      <w:color w:val="000000"/>
                      <w:kern w:val="24"/>
                      <w:sz w:val="22"/>
                      <w:szCs w:val="22"/>
                    </w:rPr>
                    <m:t>Financeira</m:t>
                  </m:r>
                  <m:r>
                    <w:rPr>
                      <w:rFonts w:ascii="Cambria Math" w:hAnsi="Cambria Math" w:hint="eastAsia"/>
                      <w:color w:val="000000"/>
                      <w:kern w:val="24"/>
                      <w:sz w:val="22"/>
                      <w:szCs w:val="22"/>
                    </w:rPr>
                    <m:t> </m:t>
                  </m:r>
                  <m:r>
                    <w:rPr>
                      <w:rFonts w:ascii="Cambria Math" w:hAnsi="Cambria Math"/>
                      <w:color w:val="000000"/>
                      <w:kern w:val="24"/>
                      <w:sz w:val="22"/>
                      <w:szCs w:val="22"/>
                    </w:rPr>
                    <m:t>Credenciada</m:t>
                  </m:r>
                </m:e>
              </m:d>
            </m:e>
            <m:sup>
              <m:f>
                <m:fPr>
                  <m:ctrlPr>
                    <w:rPr>
                      <w:rFonts w:ascii="Cambria Math" w:hAnsi="Cambria Math" w:cs="Arial"/>
                      <w:i/>
                      <w:iCs/>
                      <w:color w:val="000000"/>
                      <w:kern w:val="24"/>
                      <w:szCs w:val="24"/>
                    </w:rPr>
                  </m:ctrlPr>
                </m:fPr>
                <m:num>
                  <m:r>
                    <w:rPr>
                      <w:rFonts w:ascii="Cambria Math" w:hAnsi="Cambria Math"/>
                      <w:color w:val="000000"/>
                      <w:kern w:val="24"/>
                      <w:sz w:val="22"/>
                      <w:szCs w:val="22"/>
                    </w:rPr>
                    <m:t>du</m:t>
                  </m:r>
                </m:num>
                <m:den>
                  <m:r>
                    <w:rPr>
                      <w:rFonts w:ascii="Cambria Math" w:hAnsi="Cambria Math"/>
                      <w:color w:val="000000"/>
                      <w:kern w:val="24"/>
                      <w:sz w:val="22"/>
                      <w:szCs w:val="22"/>
                    </w:rPr>
                    <m:t>252</m:t>
                  </m:r>
                </m:den>
              </m:f>
            </m:sup>
          </m:sSup>
        </m:oMath>
      </m:oMathPara>
    </w:p>
    <w:p w14:paraId="65FE7863" w14:textId="77777777" w:rsidR="003E41AE" w:rsidRPr="00B82233" w:rsidRDefault="003E41AE" w:rsidP="003E41AE">
      <w:pPr>
        <w:pStyle w:val="BNDES"/>
        <w:rPr>
          <w:rFonts w:cs="Arial"/>
          <w:szCs w:val="24"/>
        </w:rPr>
      </w:pPr>
    </w:p>
    <w:p w14:paraId="6E5D4E8B" w14:textId="77777777" w:rsidR="003E41AE" w:rsidRPr="00B82233" w:rsidRDefault="003E41AE" w:rsidP="003E41AE">
      <w:pPr>
        <w:pStyle w:val="BNDES"/>
        <w:rPr>
          <w:rFonts w:cs="Arial"/>
          <w:szCs w:val="24"/>
        </w:rPr>
      </w:pPr>
      <w:r w:rsidRPr="00B82233">
        <w:rPr>
          <w:rFonts w:cs="Arial"/>
          <w:szCs w:val="24"/>
        </w:rPr>
        <w:t>Sendo:</w:t>
      </w:r>
    </w:p>
    <w:p w14:paraId="0C9B2FDF" w14:textId="77777777" w:rsidR="003E41AE" w:rsidRPr="00B82233" w:rsidRDefault="003E41AE" w:rsidP="003E41AE">
      <w:pPr>
        <w:pStyle w:val="BNDES"/>
        <w:rPr>
          <w:rFonts w:cs="Arial"/>
          <w:szCs w:val="24"/>
        </w:rPr>
      </w:pPr>
    </w:p>
    <w:p w14:paraId="19C569CC" w14:textId="741CEFE4" w:rsidR="003F6E79" w:rsidRPr="00B82233" w:rsidRDefault="003F6E79" w:rsidP="003E41AE">
      <w:pPr>
        <w:pStyle w:val="BNDES"/>
        <w:rPr>
          <w:rFonts w:cs="Arial"/>
          <w:szCs w:val="24"/>
        </w:rPr>
      </w:pPr>
      <w:r w:rsidRPr="00B82233">
        <w:rPr>
          <w:rFonts w:cs="Arial"/>
          <w:b/>
          <w:szCs w:val="24"/>
        </w:rPr>
        <w:t xml:space="preserve">Spread BNDES: </w:t>
      </w:r>
      <w:r w:rsidRPr="00B82233">
        <w:rPr>
          <w:rFonts w:cs="Arial"/>
          <w:szCs w:val="24"/>
        </w:rPr>
        <w:t>corresponde ao spread do BNDES</w:t>
      </w:r>
      <w:r w:rsidR="00B82233">
        <w:rPr>
          <w:rFonts w:cs="Arial"/>
          <w:szCs w:val="24"/>
        </w:rPr>
        <w:t>.</w:t>
      </w:r>
    </w:p>
    <w:p w14:paraId="45787500" w14:textId="77777777" w:rsidR="003F6E79" w:rsidRPr="00B82233" w:rsidRDefault="003F6E79" w:rsidP="003E41AE">
      <w:pPr>
        <w:pStyle w:val="BNDES"/>
        <w:rPr>
          <w:rFonts w:cs="Arial"/>
          <w:szCs w:val="24"/>
        </w:rPr>
      </w:pPr>
    </w:p>
    <w:p w14:paraId="38883DC7" w14:textId="77777777" w:rsidR="003E41AE" w:rsidRPr="00B82233" w:rsidRDefault="003E41AE" w:rsidP="003E41AE">
      <w:pPr>
        <w:pStyle w:val="BNDES"/>
        <w:rPr>
          <w:rFonts w:cs="Arial"/>
          <w:szCs w:val="24"/>
        </w:rPr>
      </w:pPr>
      <w:r w:rsidRPr="00B82233">
        <w:rPr>
          <w:rFonts w:cs="Arial"/>
          <w:b/>
          <w:szCs w:val="24"/>
        </w:rPr>
        <w:t>du =</w:t>
      </w:r>
      <w:r w:rsidRPr="00B82233">
        <w:rPr>
          <w:rFonts w:cs="Arial"/>
          <w:szCs w:val="24"/>
        </w:rPr>
        <w:t xml:space="preserve"> corresponde ao número de Dias Úteis entre (i) a Data de Desembolso, no caso do primeiro Período de Juros, inclusive, ou (ii) a data de vencimento ou pagamento de Remuneração imediatamente anterior, inclusive, nos demais casos e a data de cálculo, exclusive, sendo “du” um número inteiro.</w:t>
      </w:r>
    </w:p>
    <w:p w14:paraId="5DB6C4DF" w14:textId="77777777" w:rsidR="003E41AE" w:rsidRPr="00B82233" w:rsidRDefault="003E41AE" w:rsidP="003E41AE">
      <w:pPr>
        <w:pStyle w:val="BNDES"/>
        <w:rPr>
          <w:rFonts w:cs="Arial"/>
          <w:szCs w:val="24"/>
        </w:rPr>
      </w:pPr>
    </w:p>
    <w:p w14:paraId="47AB8716" w14:textId="5654B5DD" w:rsidR="003E41AE" w:rsidRPr="00B82233" w:rsidRDefault="003E41AE" w:rsidP="003E41AE">
      <w:pPr>
        <w:pStyle w:val="BNDES"/>
        <w:rPr>
          <w:rFonts w:cs="Arial"/>
          <w:szCs w:val="24"/>
        </w:rPr>
      </w:pPr>
      <w:r w:rsidRPr="00B82233">
        <w:rPr>
          <w:rFonts w:cs="Arial"/>
          <w:b/>
          <w:szCs w:val="24"/>
        </w:rPr>
        <w:t>Spread da Instituição Financeira Credenciada =</w:t>
      </w:r>
      <w:r w:rsidRPr="00B82233">
        <w:rPr>
          <w:rFonts w:cs="Arial"/>
          <w:szCs w:val="24"/>
        </w:rPr>
        <w:t xml:space="preserve"> corresponde ao spread da Instituição Financeira Credenciada, negociado com </w:t>
      </w:r>
      <w:r w:rsidR="0080070D">
        <w:rPr>
          <w:rFonts w:cs="Arial"/>
          <w:szCs w:val="24"/>
        </w:rPr>
        <w:t>o</w:t>
      </w:r>
      <w:r w:rsidR="0080070D" w:rsidRPr="00B82233">
        <w:rPr>
          <w:rFonts w:cs="Arial"/>
          <w:szCs w:val="24"/>
        </w:rPr>
        <w:t xml:space="preserve"> </w:t>
      </w:r>
      <w:r w:rsidR="004C5446">
        <w:rPr>
          <w:rFonts w:cs="Arial"/>
          <w:szCs w:val="24"/>
        </w:rPr>
        <w:t>Cliente</w:t>
      </w:r>
      <w:r w:rsidRPr="00B82233">
        <w:rPr>
          <w:rFonts w:cs="Arial"/>
          <w:szCs w:val="24"/>
        </w:rPr>
        <w:t>.</w:t>
      </w:r>
    </w:p>
    <w:p w14:paraId="1A6A3C4C" w14:textId="77777777" w:rsidR="003E41AE" w:rsidRPr="00B82233" w:rsidRDefault="003E41AE" w:rsidP="00062FAC">
      <w:pPr>
        <w:pStyle w:val="BNDES"/>
        <w:ind w:left="2552" w:hanging="1559"/>
        <w:rPr>
          <w:rFonts w:cs="Arial"/>
          <w:szCs w:val="24"/>
        </w:rPr>
      </w:pPr>
    </w:p>
    <w:p w14:paraId="7897F943" w14:textId="77777777" w:rsidR="00062FAC" w:rsidRPr="00B82233" w:rsidRDefault="00062FAC" w:rsidP="00062FAC">
      <w:pPr>
        <w:pStyle w:val="BNDES"/>
        <w:rPr>
          <w:rFonts w:cs="Arial"/>
          <w:szCs w:val="24"/>
        </w:rPr>
      </w:pPr>
    </w:p>
    <w:p w14:paraId="79426E61" w14:textId="77777777" w:rsidR="00062FAC" w:rsidRPr="00B82233" w:rsidRDefault="00062FAC" w:rsidP="00062FAC">
      <w:pPr>
        <w:pStyle w:val="BNDES"/>
        <w:rPr>
          <w:rFonts w:cs="Arial"/>
          <w:szCs w:val="24"/>
        </w:rPr>
      </w:pPr>
      <w:r w:rsidRPr="00B82233">
        <w:rPr>
          <w:rFonts w:cs="Arial"/>
          <w:szCs w:val="24"/>
        </w:rPr>
        <w:t>O primeiro Período de Juros está compreendido entre a Data de Desembolso, inclusive, e a data de vencimento da primeira Remuneração, exclusive. Os demais Períodos de Juros iniciam-se na data de término do período de Juros anterior, inclusive, e terminam na data prevista de vencimento da Remuneração subsequente, exclusive.</w:t>
      </w:r>
    </w:p>
    <w:p w14:paraId="049186F0" w14:textId="77777777" w:rsidR="00062FAC" w:rsidRPr="00B82233" w:rsidRDefault="00062FAC" w:rsidP="00062FAC">
      <w:pPr>
        <w:pStyle w:val="BNDES"/>
        <w:rPr>
          <w:rFonts w:cs="Arial"/>
          <w:szCs w:val="24"/>
        </w:rPr>
      </w:pPr>
    </w:p>
    <w:p w14:paraId="5DF256DD" w14:textId="77777777" w:rsidR="00062FAC" w:rsidRPr="00B82233" w:rsidRDefault="00062FAC" w:rsidP="00062FAC">
      <w:pPr>
        <w:pStyle w:val="BNDES"/>
        <w:rPr>
          <w:rFonts w:cs="Arial"/>
          <w:szCs w:val="24"/>
        </w:rPr>
      </w:pPr>
      <w:r w:rsidRPr="00B82233">
        <w:rPr>
          <w:rFonts w:cs="Arial"/>
          <w:szCs w:val="24"/>
        </w:rPr>
        <w:t xml:space="preserve">A cada evento financeiro em data que não a de um vencimento, deve ser apurado novo saldo devedor considerando os efeitos desse evento e capitalizando os juros apurados até o momento. Como evento financeiro, considera-se todo e qualquer fato de natureza financeira do qual resulte ou possa resultar alteração do saldo devedor. </w:t>
      </w:r>
    </w:p>
    <w:p w14:paraId="34FB4689" w14:textId="77777777" w:rsidR="00062FAC" w:rsidRPr="00B82233" w:rsidRDefault="00062FAC" w:rsidP="00062FAC">
      <w:pPr>
        <w:pStyle w:val="BNDES"/>
        <w:rPr>
          <w:rFonts w:cs="Arial"/>
          <w:szCs w:val="24"/>
        </w:rPr>
      </w:pPr>
    </w:p>
    <w:p w14:paraId="26CDBEFA" w14:textId="44DB4946" w:rsidR="00062FAC" w:rsidRPr="00B82233" w:rsidRDefault="00062FAC" w:rsidP="00062FAC">
      <w:pPr>
        <w:pStyle w:val="BNDES"/>
        <w:rPr>
          <w:rFonts w:cs="Arial"/>
          <w:szCs w:val="24"/>
        </w:rPr>
      </w:pPr>
      <w:r w:rsidRPr="00B82233">
        <w:rPr>
          <w:rFonts w:cs="Arial"/>
          <w:szCs w:val="24"/>
        </w:rPr>
        <w:t>O montante apurado nos termos d</w:t>
      </w:r>
      <w:r w:rsidR="0088607E">
        <w:rPr>
          <w:rFonts w:cs="Arial"/>
          <w:szCs w:val="24"/>
        </w:rPr>
        <w:t>a</w:t>
      </w:r>
      <w:r w:rsidRPr="00B82233">
        <w:rPr>
          <w:rFonts w:cs="Arial"/>
          <w:szCs w:val="24"/>
        </w:rPr>
        <w:t xml:space="preserve"> </w:t>
      </w:r>
      <w:r w:rsidR="0088607E">
        <w:rPr>
          <w:rFonts w:cs="Arial"/>
          <w:szCs w:val="24"/>
        </w:rPr>
        <w:t>Cláusula</w:t>
      </w:r>
      <w:r w:rsidRPr="00B82233">
        <w:rPr>
          <w:rFonts w:cs="Arial"/>
          <w:szCs w:val="24"/>
        </w:rPr>
        <w:t xml:space="preserve"> “Forma de Cálculo” será exigível trimestralmente/semestralmente/anualmente (conforme o caso), durante o prazo de carência, e mensalmente/semestralmente/anualmente (conforme o caso), durante o período de amortização, juntamente com as prestações do principal, e no vencimento ou liquidação do Contrato</w:t>
      </w:r>
      <w:r w:rsidR="0038221B" w:rsidRPr="00B82233">
        <w:rPr>
          <w:rFonts w:cs="Arial"/>
          <w:szCs w:val="24"/>
        </w:rPr>
        <w:t>, observado o disposto n</w:t>
      </w:r>
      <w:r w:rsidR="0088607E">
        <w:rPr>
          <w:rFonts w:cs="Arial"/>
          <w:szCs w:val="24"/>
        </w:rPr>
        <w:t>a</w:t>
      </w:r>
      <w:r w:rsidR="0038221B" w:rsidRPr="00B82233">
        <w:rPr>
          <w:rFonts w:cs="Arial"/>
          <w:szCs w:val="24"/>
        </w:rPr>
        <w:t xml:space="preserve"> </w:t>
      </w:r>
      <w:r w:rsidR="0088607E">
        <w:rPr>
          <w:rFonts w:cs="Arial"/>
          <w:szCs w:val="24"/>
        </w:rPr>
        <w:t>Cláusula</w:t>
      </w:r>
      <w:r w:rsidR="0038221B" w:rsidRPr="00B82233">
        <w:rPr>
          <w:rFonts w:cs="Arial"/>
          <w:szCs w:val="24"/>
        </w:rPr>
        <w:t xml:space="preserve"> </w:t>
      </w:r>
      <w:r w:rsidR="00C439E5" w:rsidRPr="00B82233">
        <w:rPr>
          <w:rFonts w:cs="Arial"/>
          <w:szCs w:val="24"/>
        </w:rPr>
        <w:t>‘VENCIMENTO EM DIAS FERIADOS”</w:t>
      </w:r>
      <w:r w:rsidRPr="00B82233">
        <w:rPr>
          <w:rFonts w:cs="Arial"/>
          <w:szCs w:val="24"/>
        </w:rPr>
        <w:t>.</w:t>
      </w:r>
    </w:p>
    <w:p w14:paraId="3E24420E" w14:textId="77777777" w:rsidR="00062FAC" w:rsidRPr="00B82233" w:rsidRDefault="00062FAC" w:rsidP="00062FAC">
      <w:pPr>
        <w:pStyle w:val="BNDES"/>
        <w:rPr>
          <w:rFonts w:cs="Arial"/>
          <w:szCs w:val="24"/>
        </w:rPr>
      </w:pPr>
    </w:p>
    <w:p w14:paraId="1006E6A2" w14:textId="77777777" w:rsidR="00062FAC" w:rsidRPr="00B82233" w:rsidRDefault="00062FAC" w:rsidP="00062FAC">
      <w:pPr>
        <w:pStyle w:val="BNDES"/>
        <w:rPr>
          <w:rFonts w:cs="Arial"/>
          <w:szCs w:val="24"/>
        </w:rPr>
      </w:pPr>
      <w:r w:rsidRPr="00B82233">
        <w:rPr>
          <w:rFonts w:cs="Arial"/>
          <w:szCs w:val="24"/>
        </w:rPr>
        <w:t>Todos os cálculos intermediários serão realizados com 16 (dezesseis) casas decimais, sem arredondamento.</w:t>
      </w:r>
    </w:p>
    <w:p w14:paraId="73CA9CA1" w14:textId="77777777" w:rsidR="00062FAC" w:rsidRPr="00B82233" w:rsidRDefault="00062FAC" w:rsidP="00062FAC">
      <w:pPr>
        <w:pStyle w:val="BNDES"/>
        <w:rPr>
          <w:rFonts w:cs="Arial"/>
          <w:szCs w:val="24"/>
        </w:rPr>
      </w:pPr>
    </w:p>
    <w:p w14:paraId="5DB5B345" w14:textId="2B96D168" w:rsidR="00062FAC" w:rsidRPr="00B82233" w:rsidRDefault="00062FAC" w:rsidP="00B82233">
      <w:pPr>
        <w:pStyle w:val="BNDES"/>
      </w:pPr>
      <w:r w:rsidRPr="00B82233">
        <w:rPr>
          <w:rFonts w:cs="Arial"/>
          <w:szCs w:val="24"/>
        </w:rPr>
        <w:t xml:space="preserve">A Data de Aniversário corresponde ao dia 15 (quinze) de cada mês.   </w:t>
      </w:r>
    </w:p>
    <w:p w14:paraId="3F44E607" w14:textId="2A7F75E8" w:rsidR="00003AC6" w:rsidRPr="00B82233" w:rsidRDefault="00003AC6" w:rsidP="00003AC6">
      <w:pPr>
        <w:pStyle w:val="BNDES"/>
        <w:rPr>
          <w:rFonts w:cs="Arial"/>
          <w:szCs w:val="24"/>
        </w:rPr>
      </w:pPr>
    </w:p>
    <w:p w14:paraId="5331F61D" w14:textId="77777777" w:rsidR="00003AC6" w:rsidRPr="00B82233" w:rsidRDefault="00003AC6" w:rsidP="00062FAC">
      <w:pPr>
        <w:jc w:val="both"/>
        <w:rPr>
          <w:rFonts w:ascii="Arial" w:hAnsi="Arial" w:cs="Arial"/>
          <w:sz w:val="24"/>
          <w:szCs w:val="24"/>
          <w:u w:val="single"/>
        </w:rPr>
      </w:pPr>
    </w:p>
    <w:p w14:paraId="1EAB4C10" w14:textId="35A48454" w:rsidR="00062FAC" w:rsidRDefault="00062FAC" w:rsidP="00062FAC">
      <w:pPr>
        <w:jc w:val="both"/>
        <w:rPr>
          <w:rFonts w:ascii="Arial" w:hAnsi="Arial" w:cs="Arial"/>
          <w:sz w:val="24"/>
          <w:szCs w:val="24"/>
        </w:rPr>
      </w:pPr>
      <w:r w:rsidRPr="00B82233">
        <w:rPr>
          <w:rFonts w:ascii="Arial" w:hAnsi="Arial" w:cs="Arial"/>
          <w:sz w:val="24"/>
          <w:szCs w:val="24"/>
          <w:u w:val="single"/>
        </w:rPr>
        <w:t>ALTERAÇÃO DO CRITÉRIO LEGAL DE REMUNERAÇÃO DOS RECURSOS ORIGINÁRIOS DO FAT</w:t>
      </w:r>
      <w:r w:rsidRPr="00B82233">
        <w:rPr>
          <w:rFonts w:ascii="Arial" w:hAnsi="Arial" w:cs="Arial"/>
          <w:sz w:val="24"/>
          <w:szCs w:val="24"/>
        </w:rPr>
        <w:t xml:space="preserve">: Na hipótese de vir a ser substituído o critério legal de remuneração dos recursos repassados ao </w:t>
      </w:r>
      <w:r w:rsidR="00064FCE">
        <w:rPr>
          <w:rFonts w:ascii="Arial" w:hAnsi="Arial" w:cs="Arial"/>
          <w:sz w:val="24"/>
          <w:szCs w:val="24"/>
        </w:rPr>
        <w:t xml:space="preserve">Sistema </w:t>
      </w:r>
      <w:r w:rsidRPr="00B82233">
        <w:rPr>
          <w:rFonts w:ascii="Arial" w:hAnsi="Arial" w:cs="Arial"/>
          <w:sz w:val="24"/>
          <w:szCs w:val="24"/>
        </w:rPr>
        <w:t xml:space="preserve">BNDES, originários do Fundo de Amparo ao Trabalhador - FAT, a remuneração prevista neste Contrato poderá, a critério do BNDES/FINAME, passar a ser efetuada mediante utilização do novo critério de remuneração dos aludidos recursos, ou outro, indicado pelo BNDES/FINAME que, além de preservar o valor real da operação, a remunere nos mesmos níveis anteriores. Nesse caso, a INSTITUIÇÃO FINANCEIRA CREDENCIADA comunicará a alteração, por escrito, </w:t>
      </w:r>
      <w:r w:rsidR="0080070D">
        <w:rPr>
          <w:rFonts w:ascii="Arial" w:hAnsi="Arial" w:cs="Arial"/>
          <w:sz w:val="24"/>
          <w:szCs w:val="24"/>
        </w:rPr>
        <w:t>ao</w:t>
      </w:r>
      <w:r w:rsidR="0080070D" w:rsidRPr="00B82233">
        <w:rPr>
          <w:rFonts w:ascii="Arial" w:hAnsi="Arial" w:cs="Arial"/>
          <w:sz w:val="24"/>
          <w:szCs w:val="24"/>
        </w:rPr>
        <w:t xml:space="preserve"> </w:t>
      </w:r>
      <w:r w:rsidR="00064FCE">
        <w:rPr>
          <w:rFonts w:ascii="Arial" w:hAnsi="Arial" w:cs="Arial"/>
          <w:sz w:val="24"/>
          <w:szCs w:val="24"/>
        </w:rPr>
        <w:t>CLIENTE</w:t>
      </w:r>
      <w:r w:rsidRPr="00B82233">
        <w:rPr>
          <w:rFonts w:ascii="Arial" w:hAnsi="Arial" w:cs="Arial"/>
          <w:sz w:val="24"/>
          <w:szCs w:val="24"/>
        </w:rPr>
        <w:t xml:space="preserve"> FINAL.</w:t>
      </w:r>
    </w:p>
    <w:p w14:paraId="76945157" w14:textId="77777777" w:rsidR="00D86619" w:rsidRPr="00797A8C" w:rsidRDefault="00AC3D3D" w:rsidP="00D86619">
      <w:pPr>
        <w:pStyle w:val="Corpodetexto3"/>
        <w:rPr>
          <w:rFonts w:cs="Arial"/>
          <w:b/>
          <w:sz w:val="24"/>
          <w:szCs w:val="24"/>
        </w:rPr>
      </w:pPr>
      <w:r w:rsidRPr="00797A8C">
        <w:rPr>
          <w:rFonts w:cs="Arial"/>
          <w:b/>
          <w:sz w:val="24"/>
          <w:szCs w:val="24"/>
        </w:rPr>
        <w:br w:type="page"/>
      </w:r>
      <w:r w:rsidR="00D86619" w:rsidRPr="00797A8C">
        <w:rPr>
          <w:rFonts w:cs="Arial"/>
          <w:b/>
          <w:sz w:val="24"/>
          <w:szCs w:val="24"/>
        </w:rPr>
        <w:lastRenderedPageBreak/>
        <w:t xml:space="preserve"> </w:t>
      </w:r>
    </w:p>
    <w:p w14:paraId="287D3BE9" w14:textId="2E89B08A" w:rsidR="00BC6130" w:rsidRPr="00B82233" w:rsidRDefault="00BC6130" w:rsidP="00B82233">
      <w:pPr>
        <w:pStyle w:val="BNDES"/>
        <w:numPr>
          <w:ilvl w:val="0"/>
          <w:numId w:val="49"/>
        </w:numPr>
        <w:ind w:left="709" w:hanging="709"/>
        <w:rPr>
          <w:rFonts w:cs="Arial"/>
          <w:b/>
          <w:szCs w:val="24"/>
          <w:u w:val="single"/>
        </w:rPr>
      </w:pPr>
      <w:r w:rsidRPr="00B82233">
        <w:rPr>
          <w:rFonts w:cs="Arial"/>
          <w:b/>
          <w:szCs w:val="24"/>
          <w:u w:val="single"/>
        </w:rPr>
        <w:t>C</w:t>
      </w:r>
      <w:r w:rsidR="00CF776F" w:rsidRPr="00797A8C">
        <w:rPr>
          <w:rFonts w:cs="Arial"/>
          <w:b/>
          <w:szCs w:val="24"/>
          <w:u w:val="single"/>
        </w:rPr>
        <w:t>láusulas e</w:t>
      </w:r>
      <w:r w:rsidR="00556BD6">
        <w:rPr>
          <w:rFonts w:cs="Arial"/>
          <w:b/>
          <w:szCs w:val="24"/>
          <w:u w:val="single"/>
        </w:rPr>
        <w:t>specíficas</w:t>
      </w:r>
      <w:r w:rsidRPr="00B82233">
        <w:rPr>
          <w:rFonts w:cs="Arial"/>
          <w:b/>
          <w:szCs w:val="24"/>
          <w:u w:val="single"/>
        </w:rPr>
        <w:t xml:space="preserve"> </w:t>
      </w:r>
      <w:r w:rsidR="00A028E0" w:rsidRPr="00B82233">
        <w:rPr>
          <w:rFonts w:cs="Arial"/>
          <w:b/>
          <w:szCs w:val="24"/>
          <w:u w:val="single"/>
        </w:rPr>
        <w:t xml:space="preserve">que deverão constar nos </w:t>
      </w:r>
      <w:r w:rsidR="00713C2E">
        <w:rPr>
          <w:rFonts w:cs="Arial"/>
          <w:b/>
          <w:szCs w:val="24"/>
          <w:u w:val="single"/>
        </w:rPr>
        <w:t>instrumentos jurídicos que formalizam a operação de crédito</w:t>
      </w:r>
      <w:r w:rsidR="00713C2E" w:rsidRPr="00133EC2">
        <w:rPr>
          <w:rFonts w:cs="Arial"/>
          <w:b/>
          <w:szCs w:val="24"/>
          <w:u w:val="single"/>
        </w:rPr>
        <w:t xml:space="preserve"> </w:t>
      </w:r>
      <w:r w:rsidRPr="00B82233">
        <w:rPr>
          <w:rFonts w:cs="Arial"/>
          <w:b/>
          <w:szCs w:val="24"/>
          <w:u w:val="single"/>
        </w:rPr>
        <w:t>com Custo Financeiro em TS</w:t>
      </w:r>
      <w:r w:rsidR="008F1C22" w:rsidRPr="00B82233">
        <w:rPr>
          <w:rFonts w:cs="Arial"/>
          <w:b/>
          <w:szCs w:val="24"/>
          <w:u w:val="single"/>
          <w:vertAlign w:val="superscript"/>
        </w:rPr>
        <w:t>CAP</w:t>
      </w:r>
      <w:r w:rsidRPr="00B82233">
        <w:rPr>
          <w:rFonts w:cs="Arial"/>
          <w:b/>
          <w:szCs w:val="24"/>
          <w:u w:val="single"/>
        </w:rPr>
        <w:t xml:space="preserve"> (CAPITALIZADA)</w:t>
      </w:r>
    </w:p>
    <w:p w14:paraId="478F5F8A" w14:textId="77777777" w:rsidR="00556BD6" w:rsidRPr="00797A8C" w:rsidRDefault="00556BD6" w:rsidP="0018576D">
      <w:pPr>
        <w:jc w:val="both"/>
        <w:rPr>
          <w:rFonts w:ascii="Arial" w:hAnsi="Arial" w:cs="Arial"/>
          <w:b/>
          <w:sz w:val="24"/>
          <w:szCs w:val="24"/>
          <w:u w:val="single"/>
        </w:rPr>
      </w:pPr>
    </w:p>
    <w:p w14:paraId="1FB2AC5E" w14:textId="77777777" w:rsidR="004F0731" w:rsidRPr="00B82233" w:rsidRDefault="004F0731" w:rsidP="004F0731">
      <w:pPr>
        <w:jc w:val="both"/>
        <w:rPr>
          <w:rFonts w:ascii="Arial" w:hAnsi="Arial" w:cs="Arial"/>
          <w:sz w:val="24"/>
          <w:szCs w:val="24"/>
          <w:u w:val="single"/>
        </w:rPr>
      </w:pPr>
    </w:p>
    <w:p w14:paraId="248B46D3" w14:textId="0AAAD417" w:rsidR="004F0731" w:rsidRPr="00B82233" w:rsidRDefault="004F0731" w:rsidP="004F0731">
      <w:pPr>
        <w:jc w:val="both"/>
        <w:rPr>
          <w:rFonts w:ascii="Arial" w:hAnsi="Arial" w:cs="Arial"/>
          <w:sz w:val="24"/>
          <w:szCs w:val="24"/>
        </w:rPr>
      </w:pPr>
      <w:r w:rsidRPr="00B82233">
        <w:rPr>
          <w:rFonts w:ascii="Arial" w:hAnsi="Arial" w:cs="Arial"/>
          <w:sz w:val="24"/>
          <w:szCs w:val="24"/>
          <w:u w:val="single"/>
        </w:rPr>
        <w:t>VALOR DO CRÉDITO</w:t>
      </w:r>
      <w:r w:rsidRPr="00B82233">
        <w:rPr>
          <w:rFonts w:ascii="Arial" w:hAnsi="Arial" w:cs="Arial"/>
          <w:sz w:val="24"/>
          <w:szCs w:val="24"/>
        </w:rPr>
        <w:t xml:space="preserve">: </w:t>
      </w:r>
      <w:r w:rsidR="00B948CB" w:rsidRPr="00B82233">
        <w:rPr>
          <w:rFonts w:ascii="Arial" w:hAnsi="Arial" w:cs="Arial"/>
          <w:sz w:val="24"/>
          <w:szCs w:val="24"/>
        </w:rPr>
        <w:t xml:space="preserve">R$ ................... (..............), a ser provido com recursos ordinários do </w:t>
      </w:r>
      <w:r w:rsidR="00D56B22">
        <w:rPr>
          <w:rFonts w:ascii="Arial" w:hAnsi="Arial" w:cs="Arial"/>
          <w:sz w:val="24"/>
          <w:szCs w:val="24"/>
        </w:rPr>
        <w:t xml:space="preserve">Sistema </w:t>
      </w:r>
      <w:r w:rsidR="00B948CB" w:rsidRPr="00B82233">
        <w:rPr>
          <w:rFonts w:ascii="Arial" w:hAnsi="Arial" w:cs="Arial"/>
          <w:sz w:val="24"/>
          <w:szCs w:val="24"/>
        </w:rPr>
        <w:t xml:space="preserve">BNDES, que são compostos, dentre outras fontes, pelos recursos do Fundo de Amparo ao Trabalhador – FAT e pelos recursos originários do FAT – Depósitos Especiais, respeitada, quanto à sua alocação, a legislação aplicável a cada uma das aludidas fontes, à conta do Contrato de Abertura de Crédito (CAC) celebrado entre o </w:t>
      </w:r>
      <w:r w:rsidR="00D56B22">
        <w:rPr>
          <w:rFonts w:ascii="Arial" w:hAnsi="Arial" w:cs="Arial"/>
          <w:sz w:val="24"/>
          <w:szCs w:val="24"/>
        </w:rPr>
        <w:t xml:space="preserve">Sistema </w:t>
      </w:r>
      <w:r w:rsidR="00B948CB" w:rsidRPr="00B82233">
        <w:rPr>
          <w:rFonts w:ascii="Arial" w:hAnsi="Arial" w:cs="Arial"/>
          <w:sz w:val="24"/>
          <w:szCs w:val="24"/>
        </w:rPr>
        <w:t>BNDES e INSTITUIÇÕES FINANCEIRAS CREDENCIADAS.</w:t>
      </w:r>
    </w:p>
    <w:p w14:paraId="6BFA43C4" w14:textId="77777777" w:rsidR="00FE10EB" w:rsidRPr="00B82233" w:rsidRDefault="00FE10EB" w:rsidP="00B82233">
      <w:pPr>
        <w:jc w:val="both"/>
        <w:rPr>
          <w:rFonts w:ascii="Arial" w:hAnsi="Arial" w:cs="Arial"/>
          <w:sz w:val="24"/>
          <w:szCs w:val="24"/>
        </w:rPr>
      </w:pPr>
    </w:p>
    <w:p w14:paraId="7B71B907" w14:textId="71582A3E" w:rsidR="001C67F9" w:rsidRPr="00B82233" w:rsidRDefault="00BC6130" w:rsidP="001C67F9">
      <w:pPr>
        <w:spacing w:before="120" w:after="120"/>
        <w:jc w:val="both"/>
        <w:rPr>
          <w:rFonts w:ascii="Arial" w:hAnsi="Arial" w:cs="Arial"/>
          <w:sz w:val="24"/>
          <w:szCs w:val="24"/>
        </w:rPr>
      </w:pPr>
      <w:r w:rsidRPr="00B82233">
        <w:rPr>
          <w:rFonts w:ascii="Arial" w:hAnsi="Arial" w:cs="Arial"/>
          <w:sz w:val="24"/>
          <w:szCs w:val="24"/>
          <w:u w:val="single"/>
        </w:rPr>
        <w:t>JUROS</w:t>
      </w:r>
      <w:r w:rsidR="001C67F9" w:rsidRPr="00B82233">
        <w:rPr>
          <w:rFonts w:ascii="Arial" w:hAnsi="Arial" w:cs="Arial"/>
          <w:sz w:val="24"/>
          <w:szCs w:val="24"/>
        </w:rPr>
        <w:t>: Os juros serão devidos às</w:t>
      </w:r>
      <w:r w:rsidR="001C67F9" w:rsidRPr="00797A8C">
        <w:rPr>
          <w:rFonts w:ascii="Arial" w:hAnsi="Arial" w:cs="Arial"/>
          <w:color w:val="000000"/>
          <w:sz w:val="24"/>
          <w:szCs w:val="24"/>
        </w:rPr>
        <w:t xml:space="preserve"> seguintes taxas, observada a </w:t>
      </w:r>
      <w:r w:rsidR="001C67F9" w:rsidRPr="00797A8C">
        <w:rPr>
          <w:rFonts w:ascii="Arial" w:hAnsi="Arial" w:cs="Arial"/>
          <w:color w:val="000000"/>
          <w:sz w:val="24"/>
          <w:szCs w:val="24"/>
        </w:rPr>
        <w:tab/>
        <w:t>sistemática estabelecida nas condições adiante:</w:t>
      </w:r>
    </w:p>
    <w:p w14:paraId="2D4D1DB7" w14:textId="0F3C32A4" w:rsidR="00BC6130" w:rsidRPr="00797A8C" w:rsidRDefault="00BC6130" w:rsidP="00B82233">
      <w:pPr>
        <w:pBdr>
          <w:top w:val="single" w:sz="4" w:space="11" w:color="auto"/>
          <w:left w:val="single" w:sz="4" w:space="4" w:color="auto"/>
          <w:bottom w:val="single" w:sz="4" w:space="15" w:color="auto"/>
          <w:right w:val="single" w:sz="4" w:space="4" w:color="auto"/>
        </w:pBdr>
        <w:tabs>
          <w:tab w:val="left" w:pos="0"/>
          <w:tab w:val="left" w:pos="9072"/>
        </w:tabs>
        <w:autoSpaceDE w:val="0"/>
        <w:autoSpaceDN w:val="0"/>
        <w:adjustRightInd w:val="0"/>
        <w:spacing w:before="120" w:after="240"/>
        <w:rPr>
          <w:rFonts w:ascii="Arial" w:hAnsi="Arial" w:cs="Arial"/>
          <w:color w:val="000000"/>
          <w:sz w:val="24"/>
          <w:szCs w:val="24"/>
        </w:rPr>
      </w:pPr>
      <w:r w:rsidRPr="007E1E32">
        <w:rPr>
          <w:rFonts w:ascii="Arial" w:hAnsi="Arial" w:cs="Arial"/>
          <w:b/>
          <w:color w:val="000000"/>
          <w:sz w:val="24"/>
          <w:szCs w:val="24"/>
        </w:rPr>
        <w:t xml:space="preserve">A Sobretaxa Fixa para o custo referenciado à taxa de juros Selic deverá ser obtida no portal oficial do BNDES na Internet, </w:t>
      </w:r>
      <w:hyperlink r:id="rId10" w:history="1">
        <w:r w:rsidRPr="007E1E32">
          <w:rPr>
            <w:rFonts w:ascii="Arial" w:hAnsi="Arial" w:cs="Arial"/>
            <w:b/>
            <w:color w:val="000000"/>
            <w:sz w:val="24"/>
            <w:szCs w:val="24"/>
          </w:rPr>
          <w:t>http://www.bndes.gov.br/SiteBNDES/bndes/bndes_pt/Ferramentas_e_Normas/Moedas_Contratuais</w:t>
        </w:r>
      </w:hyperlink>
      <w:r w:rsidR="005D445A" w:rsidRPr="007E1E32">
        <w:rPr>
          <w:rFonts w:ascii="Arial" w:hAnsi="Arial" w:cs="Arial"/>
          <w:b/>
          <w:color w:val="000000"/>
          <w:sz w:val="24"/>
          <w:szCs w:val="24"/>
        </w:rPr>
        <w:t>)</w:t>
      </w:r>
      <w:r w:rsidRPr="007E1E32">
        <w:rPr>
          <w:rFonts w:ascii="Arial" w:hAnsi="Arial" w:cs="Arial"/>
          <w:b/>
          <w:color w:val="000000"/>
          <w:sz w:val="24"/>
          <w:szCs w:val="24"/>
        </w:rPr>
        <w:t>, através de consulta pelo código 024</w:t>
      </w:r>
    </w:p>
    <w:p w14:paraId="6E6FF66C" w14:textId="37EFBC95" w:rsidR="00F22D67" w:rsidRPr="00797A8C" w:rsidRDefault="00F22D67" w:rsidP="00F22D67">
      <w:pPr>
        <w:ind w:left="2833" w:hanging="2549"/>
        <w:jc w:val="both"/>
        <w:rPr>
          <w:rFonts w:ascii="Arial" w:hAnsi="Arial" w:cs="Arial"/>
          <w:sz w:val="24"/>
          <w:szCs w:val="24"/>
        </w:rPr>
      </w:pPr>
      <w:r w:rsidRPr="00797A8C">
        <w:rPr>
          <w:rFonts w:ascii="Arial" w:hAnsi="Arial" w:cs="Arial"/>
          <w:color w:val="000000"/>
          <w:sz w:val="24"/>
          <w:szCs w:val="24"/>
        </w:rPr>
        <w:t xml:space="preserve">I - </w:t>
      </w:r>
      <w:r w:rsidRPr="00B82233">
        <w:rPr>
          <w:rFonts w:ascii="Arial" w:hAnsi="Arial" w:cs="Arial"/>
          <w:sz w:val="24"/>
          <w:szCs w:val="24"/>
          <w:u w:val="single"/>
        </w:rPr>
        <w:t xml:space="preserve">a serem cobrados à INSTITUIÇÃO FINANCEIRA CREDENCIADA pelo </w:t>
      </w:r>
      <w:r w:rsidR="00255054">
        <w:rPr>
          <w:rFonts w:ascii="Arial" w:hAnsi="Arial" w:cs="Arial"/>
          <w:sz w:val="24"/>
          <w:szCs w:val="24"/>
          <w:u w:val="single"/>
        </w:rPr>
        <w:t xml:space="preserve">Sistema </w:t>
      </w:r>
      <w:r w:rsidRPr="00B82233">
        <w:rPr>
          <w:rFonts w:ascii="Arial" w:hAnsi="Arial" w:cs="Arial"/>
          <w:sz w:val="24"/>
          <w:szCs w:val="24"/>
          <w:u w:val="single"/>
        </w:rPr>
        <w:t>BNDES</w:t>
      </w:r>
      <w:r w:rsidRPr="00B82233">
        <w:rPr>
          <w:rFonts w:ascii="Arial" w:hAnsi="Arial" w:cs="Arial"/>
          <w:sz w:val="24"/>
          <w:szCs w:val="24"/>
        </w:rPr>
        <w:t>:</w:t>
      </w:r>
    </w:p>
    <w:p w14:paraId="2DE2455B" w14:textId="77777777" w:rsidR="00F22D67" w:rsidRPr="00797A8C" w:rsidRDefault="00F22D67" w:rsidP="00BC6130">
      <w:pPr>
        <w:ind w:left="2833" w:hanging="1753"/>
        <w:jc w:val="both"/>
        <w:rPr>
          <w:rFonts w:ascii="Arial" w:hAnsi="Arial" w:cs="Arial"/>
          <w:sz w:val="24"/>
          <w:szCs w:val="24"/>
        </w:rPr>
      </w:pPr>
    </w:p>
    <w:p w14:paraId="0279B027" w14:textId="2882618F" w:rsidR="00BC6130" w:rsidRPr="00F01F75" w:rsidRDefault="00BC6130" w:rsidP="00BC6130">
      <w:pPr>
        <w:ind w:left="2833" w:hanging="1753"/>
        <w:jc w:val="both"/>
        <w:rPr>
          <w:rFonts w:ascii="Arial" w:hAnsi="Arial" w:cs="Arial"/>
          <w:color w:val="000000"/>
          <w:sz w:val="24"/>
          <w:szCs w:val="24"/>
        </w:rPr>
      </w:pPr>
      <w:r w:rsidRPr="00797A8C">
        <w:rPr>
          <w:rFonts w:ascii="Arial" w:hAnsi="Arial" w:cs="Arial"/>
          <w:color w:val="000000"/>
          <w:sz w:val="24"/>
          <w:szCs w:val="24"/>
        </w:rPr>
        <w:t>....... %</w:t>
      </w:r>
      <w:r w:rsidRPr="00050EC3">
        <w:rPr>
          <w:rFonts w:ascii="Arial" w:hAnsi="Arial" w:cs="Arial"/>
          <w:color w:val="000000"/>
          <w:sz w:val="24"/>
          <w:szCs w:val="24"/>
        </w:rPr>
        <w:t xml:space="preserve"> (............ por cento) </w:t>
      </w:r>
      <w:r w:rsidRPr="00050EC3">
        <w:rPr>
          <w:rFonts w:ascii="Arial" w:hAnsi="Arial" w:cs="Arial"/>
          <w:bCs/>
          <w:iCs/>
          <w:color w:val="000000"/>
          <w:sz w:val="24"/>
          <w:szCs w:val="24"/>
        </w:rPr>
        <w:t>[A taxa de juros corresponderá a .....% (soma da remuneração básica + taxa de intermediação financeira</w:t>
      </w:r>
      <w:r w:rsidR="007E1E32">
        <w:rPr>
          <w:rFonts w:ascii="Arial" w:hAnsi="Arial" w:cs="Arial"/>
          <w:bCs/>
          <w:iCs/>
          <w:color w:val="000000"/>
          <w:sz w:val="24"/>
          <w:szCs w:val="24"/>
        </w:rPr>
        <w:t>)</w:t>
      </w:r>
      <w:r w:rsidRPr="007A4415">
        <w:rPr>
          <w:rFonts w:ascii="Arial" w:hAnsi="Arial" w:cs="Arial"/>
          <w:bCs/>
          <w:iCs/>
          <w:color w:val="000000"/>
          <w:sz w:val="24"/>
          <w:szCs w:val="24"/>
        </w:rPr>
        <w:t>, acrescida da Sobretaxa Fixa a ser divulgada pelo Sistema BNDES, vigente na data da contratação]</w:t>
      </w:r>
      <w:r w:rsidRPr="007A4415">
        <w:rPr>
          <w:rFonts w:ascii="Arial" w:hAnsi="Arial" w:cs="Arial"/>
          <w:color w:val="000000"/>
          <w:sz w:val="24"/>
          <w:szCs w:val="24"/>
        </w:rPr>
        <w:t xml:space="preserve"> ao ano (a título de remuneração), base 252 (duzentos e cinquenta e dois) dias úteis, de acordo com a fórmula a seguir:</w:t>
      </w:r>
      <w:r w:rsidR="00612221" w:rsidRPr="00F01F75">
        <w:rPr>
          <w:rFonts w:ascii="Arial" w:hAnsi="Arial" w:cs="Arial"/>
          <w:color w:val="000000"/>
          <w:sz w:val="24"/>
          <w:szCs w:val="24"/>
        </w:rPr>
        <w:t xml:space="preserve"> e </w:t>
      </w:r>
    </w:p>
    <w:p w14:paraId="517A5117" w14:textId="77777777" w:rsidR="00612221" w:rsidRPr="00F01F75" w:rsidRDefault="00612221" w:rsidP="00BC6130">
      <w:pPr>
        <w:ind w:left="2833" w:hanging="1753"/>
        <w:jc w:val="both"/>
        <w:rPr>
          <w:rFonts w:ascii="Arial" w:hAnsi="Arial" w:cs="Arial"/>
          <w:color w:val="000000"/>
          <w:sz w:val="24"/>
          <w:szCs w:val="24"/>
        </w:rPr>
      </w:pPr>
    </w:p>
    <w:p w14:paraId="492DE08E" w14:textId="6A9A046E" w:rsidR="00612221" w:rsidRPr="00B82233" w:rsidRDefault="00612221" w:rsidP="00B82233">
      <w:pPr>
        <w:ind w:left="426" w:hanging="142"/>
        <w:jc w:val="both"/>
        <w:rPr>
          <w:rFonts w:cs="Arial"/>
          <w:color w:val="000000"/>
          <w:szCs w:val="24"/>
        </w:rPr>
      </w:pPr>
      <w:r w:rsidRPr="00B82233">
        <w:rPr>
          <w:rFonts w:ascii="Arial" w:hAnsi="Arial" w:cs="Arial"/>
          <w:color w:val="000000"/>
          <w:sz w:val="24"/>
          <w:szCs w:val="24"/>
        </w:rPr>
        <w:t>II -</w:t>
      </w:r>
      <w:r w:rsidRPr="00B82233">
        <w:rPr>
          <w:rFonts w:ascii="Arial" w:hAnsi="Arial" w:cs="Arial"/>
          <w:color w:val="000000"/>
          <w:sz w:val="24"/>
          <w:szCs w:val="24"/>
        </w:rPr>
        <w:tab/>
        <w:t xml:space="preserve">a serem cobrados </w:t>
      </w:r>
      <w:r w:rsidR="00E87A2B">
        <w:rPr>
          <w:rFonts w:ascii="Arial" w:hAnsi="Arial" w:cs="Arial"/>
          <w:color w:val="000000"/>
          <w:sz w:val="24"/>
          <w:szCs w:val="24"/>
        </w:rPr>
        <w:t>d</w:t>
      </w:r>
      <w:r w:rsidR="0080070D">
        <w:rPr>
          <w:rFonts w:ascii="Arial" w:hAnsi="Arial" w:cs="Arial"/>
          <w:color w:val="000000"/>
          <w:sz w:val="24"/>
          <w:szCs w:val="24"/>
        </w:rPr>
        <w:t>o</w:t>
      </w:r>
      <w:r w:rsidRPr="00B82233">
        <w:rPr>
          <w:rFonts w:ascii="Arial" w:hAnsi="Arial" w:cs="Arial"/>
          <w:color w:val="000000"/>
          <w:sz w:val="24"/>
          <w:szCs w:val="24"/>
        </w:rPr>
        <w:t xml:space="preserve"> </w:t>
      </w:r>
      <w:r w:rsidR="004C5446">
        <w:rPr>
          <w:rFonts w:ascii="Arial" w:hAnsi="Arial" w:cs="Arial"/>
          <w:color w:val="000000"/>
          <w:sz w:val="24"/>
          <w:szCs w:val="24"/>
        </w:rPr>
        <w:t>CLIENTE</w:t>
      </w:r>
      <w:r w:rsidRPr="00B82233">
        <w:rPr>
          <w:rFonts w:ascii="Arial" w:hAnsi="Arial" w:cs="Arial"/>
          <w:color w:val="000000"/>
          <w:sz w:val="24"/>
          <w:szCs w:val="24"/>
        </w:rPr>
        <w:t xml:space="preserve"> pel</w:t>
      </w:r>
      <w:r w:rsidRPr="00797A8C">
        <w:rPr>
          <w:rFonts w:ascii="Arial" w:hAnsi="Arial" w:cs="Arial"/>
          <w:color w:val="000000"/>
          <w:sz w:val="24"/>
          <w:szCs w:val="24"/>
        </w:rPr>
        <w:t>a INSTITUIÇÃO FINANCEIRA CREDENCIADA</w:t>
      </w:r>
      <w:r w:rsidRPr="00B82233">
        <w:rPr>
          <w:rFonts w:ascii="Arial" w:hAnsi="Arial" w:cs="Arial"/>
          <w:color w:val="000000"/>
          <w:sz w:val="24"/>
          <w:szCs w:val="24"/>
        </w:rPr>
        <w:t>:</w:t>
      </w:r>
    </w:p>
    <w:p w14:paraId="34BAB21D" w14:textId="77777777" w:rsidR="00612221" w:rsidRPr="00797A8C" w:rsidRDefault="00612221" w:rsidP="00BC6130">
      <w:pPr>
        <w:ind w:left="2833" w:hanging="1753"/>
        <w:jc w:val="both"/>
        <w:rPr>
          <w:rFonts w:ascii="Arial" w:hAnsi="Arial" w:cs="Arial"/>
          <w:color w:val="000000"/>
          <w:sz w:val="24"/>
          <w:szCs w:val="24"/>
        </w:rPr>
      </w:pPr>
    </w:p>
    <w:p w14:paraId="5BE6701F" w14:textId="609931A2" w:rsidR="00612221" w:rsidRPr="00B82233" w:rsidRDefault="00612221" w:rsidP="00B82233">
      <w:pPr>
        <w:ind w:left="2833" w:hanging="1753"/>
        <w:jc w:val="both"/>
        <w:rPr>
          <w:rFonts w:ascii="Arial" w:hAnsi="Arial" w:cs="Arial"/>
          <w:color w:val="000000"/>
          <w:sz w:val="24"/>
          <w:szCs w:val="24"/>
        </w:rPr>
      </w:pPr>
      <w:r w:rsidRPr="00B82233">
        <w:rPr>
          <w:rFonts w:ascii="Arial" w:hAnsi="Arial" w:cs="Arial"/>
          <w:color w:val="000000"/>
          <w:sz w:val="24"/>
          <w:szCs w:val="24"/>
        </w:rPr>
        <w:t xml:space="preserve">....... % (............ por cento) ao ano [A taxa de juros corresponderá a .....% (soma da remuneração básica + taxa de intermediação financeira + remuneração da instituição financeira credenciada), acrescida da Sobretaxa Fixa a ser divulgada pelo </w:t>
      </w:r>
      <w:r w:rsidR="00285A24">
        <w:rPr>
          <w:rFonts w:ascii="Arial" w:hAnsi="Arial" w:cs="Arial"/>
          <w:color w:val="000000"/>
          <w:sz w:val="24"/>
          <w:szCs w:val="24"/>
        </w:rPr>
        <w:t xml:space="preserve">Sistema </w:t>
      </w:r>
      <w:r w:rsidRPr="00B82233">
        <w:rPr>
          <w:rFonts w:ascii="Arial" w:hAnsi="Arial" w:cs="Arial"/>
          <w:color w:val="000000"/>
          <w:sz w:val="24"/>
          <w:szCs w:val="24"/>
        </w:rPr>
        <w:t>BNDES, vigente na data da contratação] ao ano (a título de remuneração), base 252 (duzentos e cinquenta e dois) dias úteis, de acordo com a fórmula a seguir:</w:t>
      </w:r>
    </w:p>
    <w:p w14:paraId="32683A91" w14:textId="77777777" w:rsidR="00612221" w:rsidRPr="00B82233" w:rsidRDefault="00612221" w:rsidP="00612221">
      <w:pPr>
        <w:ind w:left="1276"/>
        <w:rPr>
          <w:rFonts w:ascii="Arial" w:hAnsi="Arial" w:cs="Arial"/>
          <w:bCs/>
          <w:color w:val="000000"/>
          <w:sz w:val="24"/>
          <w:szCs w:val="24"/>
        </w:rPr>
      </w:pPr>
    </w:p>
    <w:p w14:paraId="11678443" w14:textId="77777777" w:rsidR="00BC6130" w:rsidRPr="00797A8C" w:rsidRDefault="00BC6130" w:rsidP="00BC6130">
      <w:pPr>
        <w:ind w:left="2833" w:hanging="1753"/>
        <w:jc w:val="both"/>
        <w:rPr>
          <w:rFonts w:ascii="Arial" w:hAnsi="Arial" w:cs="Arial"/>
          <w:i/>
          <w:color w:val="000000"/>
          <w:sz w:val="24"/>
          <w:szCs w:val="24"/>
        </w:rPr>
      </w:pPr>
    </w:p>
    <w:p w14:paraId="4B49CBBE" w14:textId="1FBA60FD" w:rsidR="00BC6130" w:rsidRPr="00797A8C" w:rsidRDefault="008E3FBF" w:rsidP="00BC6130">
      <w:pPr>
        <w:ind w:left="2833" w:hanging="1753"/>
        <w:jc w:val="both"/>
        <w:rPr>
          <w:rFonts w:ascii="Arial" w:hAnsi="Arial" w:cs="Arial"/>
          <w:i/>
          <w:color w:val="000000"/>
          <w:sz w:val="24"/>
          <w:szCs w:val="24"/>
        </w:rPr>
      </w:pPr>
      <w:r w:rsidRPr="00797A8C">
        <w:rPr>
          <w:rFonts w:ascii="Arial" w:hAnsi="Arial" w:cs="Arial"/>
          <w:noProof/>
          <w:color w:val="000000"/>
          <w:position w:val="-12"/>
          <w:sz w:val="24"/>
          <w:szCs w:val="24"/>
        </w:rPr>
        <w:drawing>
          <wp:inline distT="0" distB="0" distL="0" distR="0" wp14:anchorId="2D1F22C6" wp14:editId="2B74179B">
            <wp:extent cx="1676400" cy="23685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236855"/>
                    </a:xfrm>
                    <a:prstGeom prst="rect">
                      <a:avLst/>
                    </a:prstGeom>
                    <a:noFill/>
                    <a:ln>
                      <a:noFill/>
                    </a:ln>
                  </pic:spPr>
                </pic:pic>
              </a:graphicData>
            </a:graphic>
          </wp:inline>
        </w:drawing>
      </w:r>
    </w:p>
    <w:p w14:paraId="691A1ADA" w14:textId="77777777" w:rsidR="00BC6130" w:rsidRPr="00797A8C" w:rsidRDefault="00BC6130" w:rsidP="00BC6130">
      <w:pPr>
        <w:ind w:left="1058"/>
        <w:jc w:val="both"/>
        <w:rPr>
          <w:rFonts w:ascii="Arial" w:hAnsi="Arial" w:cs="Arial"/>
          <w:color w:val="000000"/>
          <w:sz w:val="24"/>
          <w:szCs w:val="24"/>
        </w:rPr>
      </w:pPr>
    </w:p>
    <w:p w14:paraId="29850D71" w14:textId="77777777" w:rsidR="00BC6130" w:rsidRPr="00050EC3" w:rsidRDefault="00BC6130" w:rsidP="00BC6130">
      <w:pPr>
        <w:ind w:left="1058"/>
        <w:jc w:val="both"/>
        <w:rPr>
          <w:rFonts w:ascii="Arial" w:hAnsi="Arial" w:cs="Arial"/>
          <w:i/>
          <w:color w:val="000000"/>
          <w:sz w:val="24"/>
          <w:szCs w:val="24"/>
        </w:rPr>
      </w:pPr>
      <w:r w:rsidRPr="00050EC3">
        <w:rPr>
          <w:rFonts w:ascii="Arial" w:hAnsi="Arial" w:cs="Arial"/>
          <w:iCs/>
          <w:color w:val="000000"/>
          <w:sz w:val="24"/>
          <w:szCs w:val="24"/>
        </w:rPr>
        <w:t>Em que</w:t>
      </w:r>
      <w:r w:rsidRPr="00050EC3">
        <w:rPr>
          <w:rFonts w:ascii="Arial" w:hAnsi="Arial" w:cs="Arial"/>
          <w:i/>
          <w:color w:val="000000"/>
          <w:sz w:val="24"/>
          <w:szCs w:val="24"/>
        </w:rPr>
        <w:t>:</w:t>
      </w:r>
    </w:p>
    <w:p w14:paraId="70615F45" w14:textId="77777777" w:rsidR="00BC6130" w:rsidRPr="007A4415" w:rsidRDefault="00BC6130" w:rsidP="00BC6130">
      <w:pPr>
        <w:ind w:left="709"/>
        <w:jc w:val="both"/>
        <w:rPr>
          <w:rFonts w:ascii="Arial" w:hAnsi="Arial" w:cs="Arial"/>
          <w:color w:val="000000"/>
          <w:sz w:val="24"/>
          <w:szCs w:val="24"/>
        </w:rPr>
      </w:pPr>
    </w:p>
    <w:tbl>
      <w:tblPr>
        <w:tblW w:w="8402" w:type="dxa"/>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4"/>
        <w:gridCol w:w="466"/>
        <w:gridCol w:w="6572"/>
      </w:tblGrid>
      <w:tr w:rsidR="00BC6130" w:rsidRPr="00797A8C" w14:paraId="336D695D" w14:textId="77777777" w:rsidTr="00003AC6">
        <w:tc>
          <w:tcPr>
            <w:tcW w:w="1364" w:type="dxa"/>
            <w:shd w:val="clear" w:color="auto" w:fill="auto"/>
          </w:tcPr>
          <w:p w14:paraId="6290D53F" w14:textId="77777777" w:rsidR="00BC6130" w:rsidRPr="007A4415" w:rsidRDefault="00BC6130" w:rsidP="00003AC6">
            <w:pPr>
              <w:jc w:val="both"/>
              <w:rPr>
                <w:rFonts w:ascii="Arial" w:hAnsi="Arial" w:cs="Arial"/>
                <w:i/>
                <w:color w:val="000000"/>
                <w:sz w:val="24"/>
                <w:szCs w:val="24"/>
              </w:rPr>
            </w:pPr>
            <w:r w:rsidRPr="007A4415">
              <w:rPr>
                <w:rFonts w:ascii="Arial" w:hAnsi="Arial" w:cs="Arial"/>
                <w:i/>
                <w:color w:val="000000"/>
                <w:sz w:val="24"/>
                <w:szCs w:val="24"/>
              </w:rPr>
              <w:t>J</w:t>
            </w:r>
          </w:p>
        </w:tc>
        <w:tc>
          <w:tcPr>
            <w:tcW w:w="466" w:type="dxa"/>
            <w:shd w:val="clear" w:color="auto" w:fill="auto"/>
          </w:tcPr>
          <w:p w14:paraId="6951C367" w14:textId="77777777" w:rsidR="00BC6130" w:rsidRPr="007A4415" w:rsidRDefault="00BC6130" w:rsidP="00003AC6">
            <w:pPr>
              <w:jc w:val="both"/>
              <w:rPr>
                <w:rFonts w:ascii="Arial" w:hAnsi="Arial" w:cs="Arial"/>
                <w:color w:val="000000"/>
                <w:sz w:val="24"/>
                <w:szCs w:val="24"/>
              </w:rPr>
            </w:pPr>
            <w:r w:rsidRPr="007A4415">
              <w:rPr>
                <w:rFonts w:ascii="Arial" w:hAnsi="Arial" w:cs="Arial"/>
                <w:color w:val="000000"/>
                <w:sz w:val="24"/>
                <w:szCs w:val="24"/>
              </w:rPr>
              <w:t>=</w:t>
            </w:r>
          </w:p>
        </w:tc>
        <w:tc>
          <w:tcPr>
            <w:tcW w:w="6555" w:type="dxa"/>
            <w:shd w:val="clear" w:color="auto" w:fill="auto"/>
          </w:tcPr>
          <w:p w14:paraId="00C22761" w14:textId="77777777" w:rsidR="00BC6130" w:rsidRPr="00F01F75" w:rsidRDefault="00BC6130" w:rsidP="00003AC6">
            <w:pPr>
              <w:jc w:val="both"/>
              <w:rPr>
                <w:rFonts w:ascii="Arial" w:hAnsi="Arial" w:cs="Arial"/>
                <w:color w:val="000000"/>
                <w:sz w:val="24"/>
                <w:szCs w:val="24"/>
              </w:rPr>
            </w:pPr>
            <w:r w:rsidRPr="00F01F75">
              <w:rPr>
                <w:rFonts w:ascii="Arial" w:hAnsi="Arial" w:cs="Arial"/>
                <w:color w:val="000000"/>
                <w:sz w:val="24"/>
                <w:szCs w:val="24"/>
              </w:rPr>
              <w:t>valor dos juros devidos no final de cada Período de Capitalização, exigíveis conforme o disposto abaixo;</w:t>
            </w:r>
          </w:p>
        </w:tc>
      </w:tr>
      <w:tr w:rsidR="00BC6130" w:rsidRPr="00797A8C" w14:paraId="4CCB9C79" w14:textId="77777777" w:rsidTr="00003AC6">
        <w:tc>
          <w:tcPr>
            <w:tcW w:w="1364" w:type="dxa"/>
            <w:shd w:val="clear" w:color="auto" w:fill="auto"/>
          </w:tcPr>
          <w:p w14:paraId="076FE650" w14:textId="77777777" w:rsidR="00BC6130" w:rsidRPr="00797A8C" w:rsidRDefault="00BC6130" w:rsidP="00003AC6">
            <w:pPr>
              <w:jc w:val="both"/>
              <w:rPr>
                <w:rFonts w:ascii="Arial" w:hAnsi="Arial" w:cs="Arial"/>
                <w:i/>
                <w:color w:val="000000"/>
                <w:sz w:val="24"/>
                <w:szCs w:val="24"/>
              </w:rPr>
            </w:pPr>
            <w:r w:rsidRPr="00797A8C">
              <w:rPr>
                <w:rFonts w:ascii="Arial" w:hAnsi="Arial" w:cs="Arial"/>
                <w:i/>
                <w:color w:val="000000"/>
                <w:sz w:val="24"/>
                <w:szCs w:val="24"/>
              </w:rPr>
              <w:lastRenderedPageBreak/>
              <w:t>Sd</w:t>
            </w:r>
          </w:p>
        </w:tc>
        <w:tc>
          <w:tcPr>
            <w:tcW w:w="466" w:type="dxa"/>
            <w:shd w:val="clear" w:color="auto" w:fill="auto"/>
          </w:tcPr>
          <w:p w14:paraId="6AE33BA7" w14:textId="77777777" w:rsidR="00BC6130" w:rsidRPr="00050EC3" w:rsidRDefault="00BC6130" w:rsidP="00003AC6">
            <w:pPr>
              <w:jc w:val="both"/>
              <w:rPr>
                <w:rFonts w:ascii="Arial" w:hAnsi="Arial" w:cs="Arial"/>
                <w:color w:val="000000"/>
                <w:sz w:val="24"/>
                <w:szCs w:val="24"/>
              </w:rPr>
            </w:pPr>
            <w:r w:rsidRPr="00050EC3">
              <w:rPr>
                <w:rFonts w:ascii="Arial" w:hAnsi="Arial" w:cs="Arial"/>
                <w:color w:val="000000"/>
                <w:sz w:val="24"/>
                <w:szCs w:val="24"/>
              </w:rPr>
              <w:t>=</w:t>
            </w:r>
          </w:p>
        </w:tc>
        <w:tc>
          <w:tcPr>
            <w:tcW w:w="6555" w:type="dxa"/>
            <w:shd w:val="clear" w:color="auto" w:fill="auto"/>
          </w:tcPr>
          <w:p w14:paraId="2A745AC9" w14:textId="77777777" w:rsidR="00BC6130" w:rsidRPr="007A4415" w:rsidRDefault="00BC6130" w:rsidP="00003AC6">
            <w:pPr>
              <w:jc w:val="both"/>
              <w:rPr>
                <w:rFonts w:ascii="Arial" w:hAnsi="Arial" w:cs="Arial"/>
                <w:color w:val="000000"/>
                <w:sz w:val="24"/>
                <w:szCs w:val="24"/>
              </w:rPr>
            </w:pPr>
            <w:r w:rsidRPr="007A4415">
              <w:rPr>
                <w:rFonts w:ascii="Arial" w:hAnsi="Arial" w:cs="Arial"/>
                <w:color w:val="000000"/>
                <w:sz w:val="24"/>
                <w:szCs w:val="24"/>
              </w:rPr>
              <w:t>Saldo devedor calculado conforme o disposto abaixo;</w:t>
            </w:r>
          </w:p>
        </w:tc>
      </w:tr>
      <w:tr w:rsidR="00BC6130" w:rsidRPr="00797A8C" w14:paraId="3537C976" w14:textId="77777777" w:rsidTr="00003AC6">
        <w:trPr>
          <w:trHeight w:val="447"/>
        </w:trPr>
        <w:tc>
          <w:tcPr>
            <w:tcW w:w="1364" w:type="dxa"/>
            <w:shd w:val="clear" w:color="auto" w:fill="auto"/>
          </w:tcPr>
          <w:p w14:paraId="3A3EA46D" w14:textId="77777777" w:rsidR="00BC6130" w:rsidRPr="00797A8C" w:rsidRDefault="00BC6130" w:rsidP="00003AC6">
            <w:pPr>
              <w:jc w:val="both"/>
              <w:rPr>
                <w:rFonts w:ascii="Arial" w:hAnsi="Arial" w:cs="Arial"/>
                <w:i/>
                <w:color w:val="000000"/>
                <w:sz w:val="24"/>
                <w:szCs w:val="24"/>
              </w:rPr>
            </w:pPr>
            <w:r w:rsidRPr="00797A8C">
              <w:rPr>
                <w:rFonts w:ascii="Arial" w:hAnsi="Arial" w:cs="Arial"/>
                <w:i/>
                <w:color w:val="000000"/>
                <w:sz w:val="24"/>
                <w:szCs w:val="24"/>
              </w:rPr>
              <w:t>FatorJuros</w:t>
            </w:r>
          </w:p>
        </w:tc>
        <w:tc>
          <w:tcPr>
            <w:tcW w:w="462" w:type="dxa"/>
            <w:shd w:val="clear" w:color="auto" w:fill="auto"/>
          </w:tcPr>
          <w:p w14:paraId="1036B49B" w14:textId="77777777" w:rsidR="00BC6130" w:rsidRPr="00050EC3" w:rsidRDefault="00BC6130" w:rsidP="00003AC6">
            <w:pPr>
              <w:jc w:val="both"/>
              <w:rPr>
                <w:rFonts w:ascii="Arial" w:hAnsi="Arial" w:cs="Arial"/>
                <w:i/>
                <w:color w:val="000000"/>
                <w:sz w:val="24"/>
                <w:szCs w:val="24"/>
              </w:rPr>
            </w:pPr>
            <w:r w:rsidRPr="00050EC3">
              <w:rPr>
                <w:rFonts w:ascii="Arial" w:hAnsi="Arial" w:cs="Arial"/>
                <w:i/>
                <w:color w:val="000000"/>
                <w:sz w:val="24"/>
                <w:szCs w:val="24"/>
              </w:rPr>
              <w:t>=</w:t>
            </w:r>
          </w:p>
        </w:tc>
        <w:tc>
          <w:tcPr>
            <w:tcW w:w="6574" w:type="dxa"/>
            <w:shd w:val="clear" w:color="auto" w:fill="auto"/>
          </w:tcPr>
          <w:p w14:paraId="1DBB4AF8" w14:textId="77777777" w:rsidR="00BC6130" w:rsidRPr="007A4415" w:rsidRDefault="00BC6130" w:rsidP="00003AC6">
            <w:pPr>
              <w:jc w:val="both"/>
              <w:rPr>
                <w:rFonts w:ascii="Arial" w:hAnsi="Arial" w:cs="Arial"/>
                <w:i/>
                <w:color w:val="000000"/>
                <w:sz w:val="24"/>
                <w:szCs w:val="24"/>
              </w:rPr>
            </w:pPr>
            <w:r w:rsidRPr="007A4415">
              <w:rPr>
                <w:rFonts w:ascii="Arial" w:hAnsi="Arial" w:cs="Arial"/>
                <w:color w:val="000000"/>
                <w:sz w:val="24"/>
                <w:szCs w:val="24"/>
              </w:rPr>
              <w:t>fator da parcela de juros fixos apurado da seguinte forma:</w:t>
            </w:r>
          </w:p>
        </w:tc>
      </w:tr>
    </w:tbl>
    <w:p w14:paraId="6B455A12" w14:textId="77777777" w:rsidR="00BC6130" w:rsidRPr="00797A8C" w:rsidRDefault="00BC6130" w:rsidP="00BC6130">
      <w:pPr>
        <w:ind w:left="709"/>
        <w:jc w:val="both"/>
        <w:rPr>
          <w:rFonts w:ascii="Arial" w:hAnsi="Arial" w:cs="Arial"/>
          <w:i/>
          <w:color w:val="000000"/>
          <w:sz w:val="24"/>
          <w:szCs w:val="24"/>
        </w:rPr>
      </w:pPr>
    </w:p>
    <w:p w14:paraId="571A7F99" w14:textId="405CD5C5" w:rsidR="00BC6130" w:rsidRPr="00797A8C" w:rsidRDefault="008E3FBF" w:rsidP="00BC6130">
      <w:pPr>
        <w:ind w:left="2127"/>
        <w:jc w:val="both"/>
        <w:rPr>
          <w:rFonts w:ascii="Arial" w:hAnsi="Arial" w:cs="Arial"/>
          <w:i/>
          <w:color w:val="000000"/>
          <w:sz w:val="24"/>
          <w:szCs w:val="24"/>
        </w:rPr>
      </w:pPr>
      <w:r w:rsidRPr="00797A8C">
        <w:rPr>
          <w:rFonts w:ascii="Arial" w:hAnsi="Arial" w:cs="Arial"/>
          <w:i/>
          <w:noProof/>
          <w:color w:val="000000"/>
          <w:position w:val="-44"/>
          <w:sz w:val="24"/>
          <w:szCs w:val="24"/>
        </w:rPr>
        <w:drawing>
          <wp:inline distT="0" distB="0" distL="0" distR="0" wp14:anchorId="1E85DD60" wp14:editId="3FFBF7C3">
            <wp:extent cx="2049145" cy="584200"/>
            <wp:effectExtent l="0" t="0" r="8255"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145" cy="584200"/>
                    </a:xfrm>
                    <a:prstGeom prst="rect">
                      <a:avLst/>
                    </a:prstGeom>
                    <a:noFill/>
                    <a:ln>
                      <a:noFill/>
                    </a:ln>
                  </pic:spPr>
                </pic:pic>
              </a:graphicData>
            </a:graphic>
          </wp:inline>
        </w:drawing>
      </w:r>
    </w:p>
    <w:p w14:paraId="6FDC31B8" w14:textId="77777777" w:rsidR="002F7E2C" w:rsidRPr="00797A8C" w:rsidRDefault="002F7E2C" w:rsidP="002F7E2C">
      <w:pPr>
        <w:ind w:left="2694" w:hanging="1614"/>
        <w:jc w:val="both"/>
        <w:rPr>
          <w:rFonts w:ascii="Arial" w:hAnsi="Arial" w:cs="Arial"/>
          <w:iCs/>
          <w:color w:val="000000"/>
          <w:sz w:val="24"/>
          <w:szCs w:val="24"/>
        </w:rPr>
      </w:pPr>
    </w:p>
    <w:p w14:paraId="5A2245CA" w14:textId="77777777" w:rsidR="002F7E2C" w:rsidRPr="00050EC3" w:rsidRDefault="002F7E2C" w:rsidP="002F7E2C">
      <w:pPr>
        <w:ind w:left="2694" w:hanging="1614"/>
        <w:jc w:val="both"/>
        <w:rPr>
          <w:rFonts w:ascii="Arial" w:hAnsi="Arial" w:cs="Arial"/>
          <w:color w:val="000000"/>
          <w:sz w:val="24"/>
          <w:szCs w:val="24"/>
        </w:rPr>
      </w:pPr>
      <w:r w:rsidRPr="00797A8C">
        <w:rPr>
          <w:rFonts w:ascii="Arial" w:hAnsi="Arial" w:cs="Arial"/>
          <w:iCs/>
          <w:color w:val="000000"/>
          <w:sz w:val="24"/>
          <w:szCs w:val="24"/>
        </w:rPr>
        <w:t>Em que</w:t>
      </w:r>
      <w:r w:rsidRPr="00050EC3">
        <w:rPr>
          <w:rFonts w:ascii="Arial" w:hAnsi="Arial" w:cs="Arial"/>
          <w:color w:val="000000"/>
          <w:sz w:val="24"/>
          <w:szCs w:val="24"/>
        </w:rPr>
        <w:t>:</w:t>
      </w:r>
    </w:p>
    <w:p w14:paraId="2E9E06D2" w14:textId="77777777" w:rsidR="00BC6130" w:rsidRPr="007A4415" w:rsidRDefault="00BC6130" w:rsidP="00BC6130">
      <w:pPr>
        <w:ind w:left="2127"/>
        <w:jc w:val="both"/>
        <w:rPr>
          <w:rFonts w:ascii="Arial" w:hAnsi="Arial" w:cs="Arial"/>
          <w:i/>
          <w:color w:val="000000"/>
          <w:sz w:val="24"/>
          <w:szCs w:val="24"/>
        </w:rPr>
      </w:pPr>
    </w:p>
    <w:tbl>
      <w:tblPr>
        <w:tblW w:w="84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7"/>
        <w:gridCol w:w="459"/>
        <w:gridCol w:w="6604"/>
      </w:tblGrid>
      <w:tr w:rsidR="00BC6130" w:rsidRPr="00797A8C" w14:paraId="2C30FDB8" w14:textId="77777777" w:rsidTr="00003AC6">
        <w:tc>
          <w:tcPr>
            <w:tcW w:w="1337" w:type="dxa"/>
            <w:shd w:val="clear" w:color="auto" w:fill="auto"/>
          </w:tcPr>
          <w:p w14:paraId="7F7871E3" w14:textId="77777777" w:rsidR="00BC6130" w:rsidRPr="007A4415" w:rsidRDefault="00BC6130" w:rsidP="00003AC6">
            <w:pPr>
              <w:jc w:val="both"/>
              <w:rPr>
                <w:rFonts w:ascii="Arial" w:hAnsi="Arial" w:cs="Arial"/>
                <w:i/>
                <w:strike/>
                <w:color w:val="000000"/>
                <w:sz w:val="24"/>
                <w:szCs w:val="24"/>
              </w:rPr>
            </w:pPr>
            <w:r w:rsidRPr="007A4415">
              <w:rPr>
                <w:rFonts w:ascii="Arial" w:hAnsi="Arial" w:cs="Arial"/>
                <w:i/>
                <w:iCs/>
                <w:color w:val="000000"/>
                <w:sz w:val="24"/>
                <w:szCs w:val="24"/>
              </w:rPr>
              <w:t>TaxaJuros</w:t>
            </w:r>
          </w:p>
        </w:tc>
        <w:tc>
          <w:tcPr>
            <w:tcW w:w="459" w:type="dxa"/>
            <w:shd w:val="clear" w:color="auto" w:fill="auto"/>
          </w:tcPr>
          <w:p w14:paraId="4AB61C3B" w14:textId="77777777" w:rsidR="00BC6130" w:rsidRPr="00F01F75" w:rsidRDefault="00BC6130" w:rsidP="00003AC6">
            <w:pPr>
              <w:jc w:val="both"/>
              <w:rPr>
                <w:rFonts w:ascii="Arial" w:hAnsi="Arial" w:cs="Arial"/>
                <w:strike/>
                <w:color w:val="000000"/>
                <w:sz w:val="24"/>
                <w:szCs w:val="24"/>
              </w:rPr>
            </w:pPr>
          </w:p>
        </w:tc>
        <w:tc>
          <w:tcPr>
            <w:tcW w:w="6604" w:type="dxa"/>
            <w:shd w:val="clear" w:color="auto" w:fill="auto"/>
          </w:tcPr>
          <w:p w14:paraId="4765EC8F" w14:textId="77777777" w:rsidR="00BC6130" w:rsidRPr="00F01F75" w:rsidRDefault="00BC6130" w:rsidP="00003AC6">
            <w:pPr>
              <w:jc w:val="both"/>
              <w:rPr>
                <w:rFonts w:ascii="Arial" w:hAnsi="Arial" w:cs="Arial"/>
                <w:i/>
                <w:strike/>
                <w:color w:val="000000"/>
                <w:sz w:val="24"/>
                <w:szCs w:val="24"/>
              </w:rPr>
            </w:pPr>
            <w:r w:rsidRPr="00F01F75">
              <w:rPr>
                <w:rFonts w:ascii="Arial" w:hAnsi="Arial" w:cs="Arial"/>
                <w:color w:val="000000"/>
                <w:sz w:val="24"/>
                <w:szCs w:val="24"/>
              </w:rPr>
              <w:t>.....% (....... por cento)</w:t>
            </w:r>
          </w:p>
        </w:tc>
      </w:tr>
      <w:tr w:rsidR="00BC6130" w:rsidRPr="00797A8C" w14:paraId="223A87BA" w14:textId="77777777" w:rsidTr="00003AC6">
        <w:tc>
          <w:tcPr>
            <w:tcW w:w="1337" w:type="dxa"/>
            <w:shd w:val="clear" w:color="auto" w:fill="auto"/>
          </w:tcPr>
          <w:p w14:paraId="6E825887" w14:textId="77777777" w:rsidR="00BC6130" w:rsidRPr="00797A8C" w:rsidRDefault="00BC6130" w:rsidP="00003AC6">
            <w:pPr>
              <w:jc w:val="both"/>
              <w:rPr>
                <w:rFonts w:ascii="Arial" w:hAnsi="Arial" w:cs="Arial"/>
                <w:color w:val="000000"/>
                <w:sz w:val="24"/>
                <w:szCs w:val="24"/>
              </w:rPr>
            </w:pPr>
            <w:r w:rsidRPr="00797A8C">
              <w:rPr>
                <w:rFonts w:ascii="Arial" w:hAnsi="Arial" w:cs="Arial"/>
                <w:i/>
                <w:color w:val="000000"/>
                <w:sz w:val="24"/>
                <w:szCs w:val="24"/>
              </w:rPr>
              <w:t>DP</w:t>
            </w:r>
          </w:p>
        </w:tc>
        <w:tc>
          <w:tcPr>
            <w:tcW w:w="459" w:type="dxa"/>
            <w:shd w:val="clear" w:color="auto" w:fill="auto"/>
          </w:tcPr>
          <w:p w14:paraId="198B2756" w14:textId="77777777" w:rsidR="00BC6130" w:rsidRPr="00050EC3" w:rsidRDefault="00BC6130" w:rsidP="00003AC6">
            <w:pPr>
              <w:jc w:val="both"/>
              <w:rPr>
                <w:rFonts w:ascii="Arial" w:hAnsi="Arial" w:cs="Arial"/>
                <w:color w:val="000000"/>
                <w:sz w:val="24"/>
                <w:szCs w:val="24"/>
              </w:rPr>
            </w:pPr>
            <w:r w:rsidRPr="00050EC3">
              <w:rPr>
                <w:rFonts w:ascii="Arial" w:hAnsi="Arial" w:cs="Arial"/>
                <w:color w:val="000000"/>
                <w:sz w:val="24"/>
                <w:szCs w:val="24"/>
              </w:rPr>
              <w:t>=</w:t>
            </w:r>
          </w:p>
        </w:tc>
        <w:tc>
          <w:tcPr>
            <w:tcW w:w="6604" w:type="dxa"/>
            <w:shd w:val="clear" w:color="auto" w:fill="auto"/>
          </w:tcPr>
          <w:p w14:paraId="0A70BE20" w14:textId="77777777" w:rsidR="00BC6130" w:rsidRPr="007A4415" w:rsidRDefault="00BC6130" w:rsidP="00003AC6">
            <w:pPr>
              <w:jc w:val="both"/>
              <w:rPr>
                <w:rFonts w:ascii="Arial" w:hAnsi="Arial" w:cs="Arial"/>
                <w:color w:val="000000"/>
                <w:sz w:val="24"/>
                <w:szCs w:val="24"/>
              </w:rPr>
            </w:pPr>
            <w:r w:rsidRPr="007A4415">
              <w:rPr>
                <w:rFonts w:ascii="Arial" w:hAnsi="Arial" w:cs="Arial"/>
                <w:color w:val="000000"/>
                <w:sz w:val="24"/>
                <w:szCs w:val="24"/>
              </w:rPr>
              <w:t>número inteiro equivalente ao número de dias úteis entre o último evento e a data atual.</w:t>
            </w:r>
          </w:p>
        </w:tc>
      </w:tr>
    </w:tbl>
    <w:p w14:paraId="3A75A397" w14:textId="77777777" w:rsidR="00BC6130" w:rsidRPr="00B82233" w:rsidRDefault="00BC6130" w:rsidP="00BC6130">
      <w:pPr>
        <w:spacing w:before="120" w:after="120"/>
        <w:jc w:val="both"/>
        <w:rPr>
          <w:rFonts w:ascii="Arial" w:hAnsi="Arial" w:cs="Arial"/>
          <w:sz w:val="24"/>
          <w:szCs w:val="24"/>
        </w:rPr>
      </w:pPr>
    </w:p>
    <w:p w14:paraId="4E11BA76" w14:textId="77777777" w:rsidR="00BC6130" w:rsidRPr="00050EC3" w:rsidRDefault="00BC6130" w:rsidP="00BC6130">
      <w:pPr>
        <w:tabs>
          <w:tab w:val="left" w:pos="1320"/>
        </w:tabs>
        <w:spacing w:after="120"/>
        <w:ind w:left="1320" w:hanging="720"/>
        <w:jc w:val="both"/>
        <w:rPr>
          <w:rFonts w:ascii="Arial" w:hAnsi="Arial" w:cs="Arial"/>
          <w:color w:val="000000"/>
          <w:sz w:val="24"/>
          <w:szCs w:val="24"/>
        </w:rPr>
      </w:pPr>
      <w:r w:rsidRPr="00797A8C">
        <w:rPr>
          <w:rFonts w:ascii="Arial" w:hAnsi="Arial" w:cs="Arial"/>
          <w:color w:val="000000"/>
          <w:sz w:val="24"/>
          <w:szCs w:val="24"/>
        </w:rPr>
        <w:t xml:space="preserve">           O saldo devedor, aí incluídos o principal, juros compensatórios e moratórios, outras despesas, comissões e demais encargos pactuados, será calculado diariamente, capitalizando-se a variação acumulada das taxas médias diárias dos financiamentos apurados no Sistema Especial de Liquidação e de Custódia – SELIC (Taxas SELIC), divulgadas pelo Banco Central do Brasil, de acordo com a fórmula a seguir:</w:t>
      </w:r>
    </w:p>
    <w:p w14:paraId="192B1C35" w14:textId="77777777" w:rsidR="00BC6130" w:rsidRPr="007A4415" w:rsidRDefault="00BC6130" w:rsidP="00BC6130">
      <w:pPr>
        <w:tabs>
          <w:tab w:val="left" w:pos="1320"/>
        </w:tabs>
        <w:spacing w:after="120"/>
        <w:ind w:left="1320" w:hanging="720"/>
        <w:jc w:val="both"/>
        <w:rPr>
          <w:rFonts w:ascii="Arial" w:hAnsi="Arial" w:cs="Arial"/>
          <w:color w:val="000000"/>
          <w:sz w:val="24"/>
          <w:szCs w:val="24"/>
        </w:rPr>
      </w:pPr>
    </w:p>
    <w:p w14:paraId="25E5E0D7" w14:textId="55D9D206" w:rsidR="00BC6130" w:rsidRPr="00797A8C" w:rsidRDefault="008E3FBF" w:rsidP="00BC6130">
      <w:pPr>
        <w:ind w:left="993" w:hanging="993"/>
        <w:jc w:val="center"/>
        <w:rPr>
          <w:rFonts w:ascii="Arial" w:hAnsi="Arial" w:cs="Arial"/>
          <w:color w:val="000000"/>
          <w:sz w:val="24"/>
          <w:szCs w:val="24"/>
        </w:rPr>
      </w:pPr>
      <w:r w:rsidRPr="00797A8C">
        <w:rPr>
          <w:rFonts w:ascii="Arial" w:hAnsi="Arial" w:cs="Arial"/>
          <w:noProof/>
          <w:color w:val="000000"/>
          <w:position w:val="-14"/>
          <w:sz w:val="24"/>
          <w:szCs w:val="24"/>
        </w:rPr>
        <w:drawing>
          <wp:inline distT="0" distB="0" distL="0" distR="0" wp14:anchorId="108A5E61" wp14:editId="7FF0D9A0">
            <wp:extent cx="1633855" cy="245745"/>
            <wp:effectExtent l="0" t="0" r="4445"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3855" cy="245745"/>
                    </a:xfrm>
                    <a:prstGeom prst="rect">
                      <a:avLst/>
                    </a:prstGeom>
                    <a:noFill/>
                    <a:ln>
                      <a:noFill/>
                    </a:ln>
                  </pic:spPr>
                </pic:pic>
              </a:graphicData>
            </a:graphic>
          </wp:inline>
        </w:drawing>
      </w:r>
    </w:p>
    <w:p w14:paraId="7EEF6BCC" w14:textId="77777777" w:rsidR="00BC6130" w:rsidRPr="00797A8C" w:rsidRDefault="00BC6130" w:rsidP="00BC6130">
      <w:pPr>
        <w:ind w:left="993" w:hanging="993"/>
        <w:jc w:val="center"/>
        <w:rPr>
          <w:rFonts w:ascii="Arial" w:hAnsi="Arial" w:cs="Arial"/>
          <w:color w:val="000000"/>
          <w:sz w:val="24"/>
          <w:szCs w:val="24"/>
          <w:highlight w:val="yellow"/>
        </w:rPr>
      </w:pPr>
    </w:p>
    <w:p w14:paraId="42076D31" w14:textId="77777777" w:rsidR="00BC6130" w:rsidRPr="00050EC3" w:rsidRDefault="00BC6130" w:rsidP="00BC6130">
      <w:pPr>
        <w:ind w:left="1058"/>
        <w:jc w:val="both"/>
        <w:rPr>
          <w:rFonts w:ascii="Arial" w:hAnsi="Arial" w:cs="Arial"/>
          <w:iCs/>
          <w:color w:val="000000"/>
          <w:sz w:val="24"/>
          <w:szCs w:val="24"/>
        </w:rPr>
      </w:pPr>
      <w:r w:rsidRPr="00050EC3">
        <w:rPr>
          <w:rFonts w:ascii="Arial" w:hAnsi="Arial" w:cs="Arial"/>
          <w:iCs/>
          <w:color w:val="000000"/>
          <w:sz w:val="24"/>
          <w:szCs w:val="24"/>
        </w:rPr>
        <w:t>Em que:</w:t>
      </w:r>
    </w:p>
    <w:p w14:paraId="31F4C2D9" w14:textId="77777777" w:rsidR="00BC6130" w:rsidRPr="007A4415" w:rsidRDefault="00BC6130" w:rsidP="00BC6130">
      <w:pPr>
        <w:ind w:left="709"/>
        <w:jc w:val="both"/>
        <w:rPr>
          <w:rFonts w:ascii="Arial" w:hAnsi="Arial" w:cs="Arial"/>
          <w:color w:val="000000"/>
          <w:sz w:val="24"/>
          <w:szCs w:val="24"/>
          <w:highlight w:val="yellow"/>
        </w:rPr>
      </w:pPr>
    </w:p>
    <w:tbl>
      <w:tblPr>
        <w:tblW w:w="8385" w:type="dxa"/>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465"/>
        <w:gridCol w:w="6534"/>
      </w:tblGrid>
      <w:tr w:rsidR="00BC6130" w:rsidRPr="00797A8C" w14:paraId="3BDE3C37" w14:textId="77777777" w:rsidTr="00003AC6">
        <w:tc>
          <w:tcPr>
            <w:tcW w:w="1386" w:type="dxa"/>
            <w:shd w:val="clear" w:color="auto" w:fill="auto"/>
          </w:tcPr>
          <w:p w14:paraId="15E3D4B4" w14:textId="77777777" w:rsidR="00BC6130" w:rsidRPr="00F01F75" w:rsidRDefault="00BC6130" w:rsidP="00003AC6">
            <w:pPr>
              <w:jc w:val="both"/>
              <w:rPr>
                <w:rFonts w:ascii="Arial" w:hAnsi="Arial" w:cs="Arial"/>
                <w:i/>
                <w:iCs/>
                <w:color w:val="000000"/>
                <w:sz w:val="24"/>
                <w:szCs w:val="24"/>
              </w:rPr>
            </w:pPr>
            <w:r w:rsidRPr="007A4415">
              <w:rPr>
                <w:rFonts w:ascii="Arial" w:hAnsi="Arial" w:cs="Arial"/>
                <w:i/>
                <w:iCs/>
                <w:color w:val="000000"/>
                <w:sz w:val="24"/>
                <w:szCs w:val="24"/>
              </w:rPr>
              <w:t>Sd</w:t>
            </w:r>
            <w:r w:rsidRPr="007A4415">
              <w:rPr>
                <w:rFonts w:ascii="Arial" w:hAnsi="Arial" w:cs="Arial"/>
                <w:i/>
                <w:iCs/>
                <w:color w:val="000000"/>
                <w:sz w:val="24"/>
                <w:szCs w:val="24"/>
                <w:vertAlign w:val="subscript"/>
              </w:rPr>
              <w:t>n</w:t>
            </w:r>
          </w:p>
        </w:tc>
        <w:tc>
          <w:tcPr>
            <w:tcW w:w="465" w:type="dxa"/>
            <w:shd w:val="clear" w:color="auto" w:fill="auto"/>
          </w:tcPr>
          <w:p w14:paraId="6063B702" w14:textId="77777777" w:rsidR="00BC6130" w:rsidRPr="00F01F75" w:rsidRDefault="00BC6130" w:rsidP="00003AC6">
            <w:pPr>
              <w:jc w:val="both"/>
              <w:rPr>
                <w:rFonts w:ascii="Arial" w:hAnsi="Arial" w:cs="Arial"/>
                <w:color w:val="000000"/>
                <w:sz w:val="24"/>
                <w:szCs w:val="24"/>
              </w:rPr>
            </w:pPr>
            <w:r w:rsidRPr="00F01F75">
              <w:rPr>
                <w:rFonts w:ascii="Arial" w:hAnsi="Arial" w:cs="Arial"/>
                <w:color w:val="000000"/>
                <w:sz w:val="24"/>
                <w:szCs w:val="24"/>
              </w:rPr>
              <w:t>=</w:t>
            </w:r>
          </w:p>
        </w:tc>
        <w:tc>
          <w:tcPr>
            <w:tcW w:w="6534" w:type="dxa"/>
            <w:shd w:val="clear" w:color="auto" w:fill="auto"/>
          </w:tcPr>
          <w:p w14:paraId="6C70BBB7" w14:textId="77777777" w:rsidR="00BC6130" w:rsidRPr="00F01F75" w:rsidRDefault="00BC6130" w:rsidP="00003AC6">
            <w:pPr>
              <w:jc w:val="both"/>
              <w:rPr>
                <w:rFonts w:ascii="Arial" w:hAnsi="Arial" w:cs="Arial"/>
                <w:color w:val="000000"/>
                <w:sz w:val="24"/>
                <w:szCs w:val="24"/>
              </w:rPr>
            </w:pPr>
            <w:r w:rsidRPr="00F01F75">
              <w:rPr>
                <w:rFonts w:ascii="Arial" w:hAnsi="Arial" w:cs="Arial"/>
                <w:color w:val="000000"/>
                <w:sz w:val="24"/>
                <w:szCs w:val="24"/>
              </w:rPr>
              <w:t>saldo devedor;</w:t>
            </w:r>
          </w:p>
        </w:tc>
      </w:tr>
      <w:tr w:rsidR="00BC6130" w:rsidRPr="00797A8C" w14:paraId="508B8ACB" w14:textId="77777777" w:rsidTr="00003AC6">
        <w:tc>
          <w:tcPr>
            <w:tcW w:w="1386" w:type="dxa"/>
            <w:shd w:val="clear" w:color="auto" w:fill="auto"/>
          </w:tcPr>
          <w:p w14:paraId="57B8D0A3" w14:textId="77777777" w:rsidR="00BC6130" w:rsidRPr="00797A8C" w:rsidRDefault="00BC6130" w:rsidP="00003AC6">
            <w:pPr>
              <w:jc w:val="both"/>
              <w:rPr>
                <w:rFonts w:ascii="Arial" w:hAnsi="Arial" w:cs="Arial"/>
                <w:i/>
                <w:iCs/>
                <w:color w:val="000000"/>
                <w:sz w:val="24"/>
                <w:szCs w:val="24"/>
              </w:rPr>
            </w:pPr>
            <w:r w:rsidRPr="00797A8C">
              <w:rPr>
                <w:rFonts w:ascii="Arial" w:hAnsi="Arial" w:cs="Arial"/>
                <w:i/>
                <w:iCs/>
                <w:color w:val="000000"/>
                <w:sz w:val="24"/>
                <w:szCs w:val="24"/>
              </w:rPr>
              <w:t>Sd</w:t>
            </w:r>
            <w:r w:rsidRPr="00797A8C">
              <w:rPr>
                <w:rFonts w:ascii="Arial" w:hAnsi="Arial" w:cs="Arial"/>
                <w:i/>
                <w:iCs/>
                <w:color w:val="000000"/>
                <w:sz w:val="24"/>
                <w:szCs w:val="24"/>
                <w:vertAlign w:val="subscript"/>
              </w:rPr>
              <w:t>n-1</w:t>
            </w:r>
          </w:p>
        </w:tc>
        <w:tc>
          <w:tcPr>
            <w:tcW w:w="465" w:type="dxa"/>
            <w:shd w:val="clear" w:color="auto" w:fill="auto"/>
          </w:tcPr>
          <w:p w14:paraId="6828E211" w14:textId="77777777" w:rsidR="00BC6130" w:rsidRPr="00050EC3" w:rsidRDefault="00BC6130" w:rsidP="00003AC6">
            <w:pPr>
              <w:jc w:val="both"/>
              <w:rPr>
                <w:rFonts w:ascii="Arial" w:hAnsi="Arial" w:cs="Arial"/>
                <w:color w:val="000000"/>
                <w:sz w:val="24"/>
                <w:szCs w:val="24"/>
              </w:rPr>
            </w:pPr>
            <w:r w:rsidRPr="00050EC3">
              <w:rPr>
                <w:rFonts w:ascii="Arial" w:hAnsi="Arial" w:cs="Arial"/>
                <w:color w:val="000000"/>
                <w:sz w:val="24"/>
                <w:szCs w:val="24"/>
              </w:rPr>
              <w:t>=</w:t>
            </w:r>
          </w:p>
        </w:tc>
        <w:tc>
          <w:tcPr>
            <w:tcW w:w="6534" w:type="dxa"/>
            <w:shd w:val="clear" w:color="auto" w:fill="auto"/>
          </w:tcPr>
          <w:p w14:paraId="037592C0" w14:textId="77777777" w:rsidR="00BC6130" w:rsidRPr="007A4415" w:rsidRDefault="00BC6130" w:rsidP="00003AC6">
            <w:pPr>
              <w:jc w:val="both"/>
              <w:rPr>
                <w:rFonts w:ascii="Arial" w:hAnsi="Arial" w:cs="Arial"/>
                <w:color w:val="000000"/>
                <w:sz w:val="24"/>
                <w:szCs w:val="24"/>
              </w:rPr>
            </w:pPr>
            <w:r w:rsidRPr="007A4415">
              <w:rPr>
                <w:rFonts w:ascii="Arial" w:hAnsi="Arial" w:cs="Arial"/>
                <w:color w:val="000000"/>
                <w:sz w:val="24"/>
                <w:szCs w:val="24"/>
              </w:rPr>
              <w:t>saldo devedor no início do Período de Capitalização;</w:t>
            </w:r>
          </w:p>
        </w:tc>
      </w:tr>
      <w:tr w:rsidR="00BC6130" w:rsidRPr="00797A8C" w14:paraId="15BBBF52" w14:textId="77777777" w:rsidTr="00003AC6">
        <w:tc>
          <w:tcPr>
            <w:tcW w:w="1386" w:type="dxa"/>
            <w:shd w:val="clear" w:color="auto" w:fill="auto"/>
          </w:tcPr>
          <w:p w14:paraId="14586CAF" w14:textId="77777777" w:rsidR="00BC6130" w:rsidRPr="00797A8C" w:rsidRDefault="00BC6130" w:rsidP="00003AC6">
            <w:pPr>
              <w:jc w:val="both"/>
              <w:rPr>
                <w:rFonts w:ascii="Arial" w:hAnsi="Arial" w:cs="Arial"/>
                <w:color w:val="000000"/>
                <w:sz w:val="24"/>
                <w:szCs w:val="24"/>
              </w:rPr>
            </w:pPr>
            <w:r w:rsidRPr="00797A8C">
              <w:rPr>
                <w:rFonts w:ascii="Arial" w:hAnsi="Arial" w:cs="Arial"/>
                <w:i/>
                <w:color w:val="000000"/>
                <w:sz w:val="24"/>
                <w:szCs w:val="24"/>
              </w:rPr>
              <w:t>FatorSelic</w:t>
            </w:r>
            <w:r w:rsidRPr="00797A8C">
              <w:rPr>
                <w:rFonts w:ascii="Arial" w:hAnsi="Arial" w:cs="Arial"/>
                <w:i/>
                <w:color w:val="000000"/>
                <w:sz w:val="24"/>
                <w:szCs w:val="24"/>
                <w:vertAlign w:val="subscript"/>
              </w:rPr>
              <w:t>n</w:t>
            </w:r>
          </w:p>
        </w:tc>
        <w:tc>
          <w:tcPr>
            <w:tcW w:w="465" w:type="dxa"/>
            <w:shd w:val="clear" w:color="auto" w:fill="auto"/>
          </w:tcPr>
          <w:p w14:paraId="1F4E2E5F" w14:textId="77777777" w:rsidR="00BC6130" w:rsidRPr="00050EC3" w:rsidRDefault="00BC6130" w:rsidP="00003AC6">
            <w:pPr>
              <w:jc w:val="both"/>
              <w:rPr>
                <w:rFonts w:ascii="Arial" w:hAnsi="Arial" w:cs="Arial"/>
                <w:color w:val="000000"/>
                <w:sz w:val="24"/>
                <w:szCs w:val="24"/>
              </w:rPr>
            </w:pPr>
            <w:r w:rsidRPr="00050EC3">
              <w:rPr>
                <w:rFonts w:ascii="Arial" w:hAnsi="Arial" w:cs="Arial"/>
                <w:i/>
                <w:color w:val="000000"/>
                <w:sz w:val="24"/>
                <w:szCs w:val="24"/>
              </w:rPr>
              <w:t>=</w:t>
            </w:r>
          </w:p>
        </w:tc>
        <w:tc>
          <w:tcPr>
            <w:tcW w:w="6534" w:type="dxa"/>
            <w:shd w:val="clear" w:color="auto" w:fill="auto"/>
          </w:tcPr>
          <w:p w14:paraId="1555C037" w14:textId="77777777" w:rsidR="00BC6130" w:rsidRPr="007A4415" w:rsidRDefault="00BC6130" w:rsidP="00003AC6">
            <w:pPr>
              <w:jc w:val="both"/>
              <w:rPr>
                <w:rFonts w:ascii="Arial" w:hAnsi="Arial" w:cs="Arial"/>
                <w:color w:val="000000"/>
                <w:sz w:val="24"/>
                <w:szCs w:val="24"/>
              </w:rPr>
            </w:pPr>
            <w:r w:rsidRPr="007A4415">
              <w:rPr>
                <w:rFonts w:ascii="Arial" w:hAnsi="Arial" w:cs="Arial"/>
                <w:color w:val="000000"/>
                <w:sz w:val="24"/>
                <w:szCs w:val="24"/>
              </w:rPr>
              <w:t>produtório das Taxas SELIC da data de início de cada período de capitalização, inclusive, até a data de cálculo exclusive, apurado da seguinte forma:</w:t>
            </w:r>
          </w:p>
        </w:tc>
      </w:tr>
    </w:tbl>
    <w:p w14:paraId="5EA76F40" w14:textId="77777777" w:rsidR="00BC6130" w:rsidRPr="00797A8C" w:rsidRDefault="00BC6130" w:rsidP="00BC6130">
      <w:pPr>
        <w:ind w:left="993" w:hanging="993"/>
        <w:jc w:val="center"/>
        <w:rPr>
          <w:rFonts w:ascii="Arial" w:hAnsi="Arial" w:cs="Arial"/>
          <w:color w:val="000000"/>
          <w:sz w:val="24"/>
          <w:szCs w:val="24"/>
          <w:highlight w:val="yellow"/>
        </w:rPr>
      </w:pPr>
    </w:p>
    <w:p w14:paraId="5863C882" w14:textId="77777777" w:rsidR="00BC6130" w:rsidRPr="00797A8C" w:rsidRDefault="00BC6130" w:rsidP="00BC6130">
      <w:pPr>
        <w:jc w:val="both"/>
        <w:rPr>
          <w:rFonts w:ascii="Arial" w:hAnsi="Arial" w:cs="Arial"/>
          <w:color w:val="000000"/>
          <w:sz w:val="24"/>
          <w:szCs w:val="24"/>
          <w:highlight w:val="yellow"/>
        </w:rPr>
      </w:pPr>
    </w:p>
    <w:p w14:paraId="07101067" w14:textId="7EFB6181" w:rsidR="00BC6130" w:rsidRPr="00797A8C" w:rsidRDefault="008E3FBF" w:rsidP="00BC6130">
      <w:pPr>
        <w:ind w:left="1080"/>
        <w:jc w:val="both"/>
        <w:rPr>
          <w:rFonts w:ascii="Arial" w:hAnsi="Arial" w:cs="Arial"/>
          <w:i/>
          <w:color w:val="000000"/>
          <w:sz w:val="24"/>
          <w:szCs w:val="24"/>
        </w:rPr>
      </w:pPr>
      <w:r w:rsidRPr="00797A8C">
        <w:rPr>
          <w:rFonts w:ascii="Arial" w:hAnsi="Arial" w:cs="Arial"/>
          <w:i/>
          <w:noProof/>
          <w:color w:val="000000"/>
          <w:position w:val="-28"/>
          <w:sz w:val="24"/>
          <w:szCs w:val="24"/>
        </w:rPr>
        <w:drawing>
          <wp:inline distT="0" distB="0" distL="0" distR="0" wp14:anchorId="2753730D" wp14:editId="74EB391F">
            <wp:extent cx="1820545" cy="465455"/>
            <wp:effectExtent l="0" t="0" r="825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0545" cy="465455"/>
                    </a:xfrm>
                    <a:prstGeom prst="rect">
                      <a:avLst/>
                    </a:prstGeom>
                    <a:noFill/>
                    <a:ln>
                      <a:noFill/>
                    </a:ln>
                  </pic:spPr>
                </pic:pic>
              </a:graphicData>
            </a:graphic>
          </wp:inline>
        </w:drawing>
      </w:r>
    </w:p>
    <w:p w14:paraId="0E51E57C" w14:textId="77777777" w:rsidR="00BC6130" w:rsidRPr="00797A8C" w:rsidRDefault="00BC6130" w:rsidP="00BC6130">
      <w:pPr>
        <w:ind w:left="3403" w:hanging="2323"/>
        <w:jc w:val="both"/>
        <w:rPr>
          <w:rFonts w:ascii="Arial" w:hAnsi="Arial" w:cs="Arial"/>
          <w:i/>
          <w:color w:val="000000"/>
          <w:sz w:val="24"/>
          <w:szCs w:val="24"/>
        </w:rPr>
      </w:pPr>
    </w:p>
    <w:p w14:paraId="76DD8402" w14:textId="77777777" w:rsidR="00BC6130" w:rsidRPr="00050EC3" w:rsidRDefault="00BC6130" w:rsidP="00BC6130">
      <w:pPr>
        <w:ind w:left="3403" w:hanging="2323"/>
        <w:jc w:val="both"/>
        <w:rPr>
          <w:rFonts w:ascii="Arial" w:hAnsi="Arial" w:cs="Arial"/>
          <w:iCs/>
          <w:color w:val="000000"/>
          <w:sz w:val="24"/>
          <w:szCs w:val="24"/>
        </w:rPr>
      </w:pPr>
      <w:r w:rsidRPr="00050EC3">
        <w:rPr>
          <w:rFonts w:ascii="Arial" w:hAnsi="Arial" w:cs="Arial"/>
          <w:iCs/>
          <w:color w:val="000000"/>
          <w:sz w:val="24"/>
          <w:szCs w:val="24"/>
        </w:rPr>
        <w:t>Em que:</w:t>
      </w:r>
    </w:p>
    <w:p w14:paraId="2B1E493F" w14:textId="77777777" w:rsidR="00BC6130" w:rsidRPr="007A4415" w:rsidRDefault="00BC6130" w:rsidP="00BC6130">
      <w:pPr>
        <w:ind w:left="3403" w:hanging="1276"/>
        <w:jc w:val="both"/>
        <w:rPr>
          <w:rFonts w:ascii="Arial" w:hAnsi="Arial" w:cs="Arial"/>
          <w:i/>
          <w:color w:val="000000"/>
          <w:sz w:val="24"/>
          <w:szCs w:val="24"/>
        </w:rPr>
      </w:pPr>
    </w:p>
    <w:tbl>
      <w:tblPr>
        <w:tblW w:w="84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
        <w:gridCol w:w="463"/>
        <w:gridCol w:w="6974"/>
      </w:tblGrid>
      <w:tr w:rsidR="00BC6130" w:rsidRPr="00797A8C" w14:paraId="4B3D1571" w14:textId="77777777" w:rsidTr="00003AC6">
        <w:tc>
          <w:tcPr>
            <w:tcW w:w="935" w:type="dxa"/>
            <w:shd w:val="clear" w:color="auto" w:fill="auto"/>
          </w:tcPr>
          <w:p w14:paraId="43ECCDED" w14:textId="77777777" w:rsidR="00BC6130" w:rsidRPr="00F01F75" w:rsidRDefault="00BC6130" w:rsidP="00003AC6">
            <w:pPr>
              <w:jc w:val="both"/>
              <w:rPr>
                <w:rFonts w:ascii="Arial" w:hAnsi="Arial" w:cs="Arial"/>
                <w:i/>
                <w:color w:val="000000"/>
                <w:sz w:val="24"/>
                <w:szCs w:val="24"/>
              </w:rPr>
            </w:pPr>
            <w:r w:rsidRPr="007A4415">
              <w:rPr>
                <w:rFonts w:ascii="Arial" w:hAnsi="Arial" w:cs="Arial"/>
                <w:i/>
                <w:color w:val="000000"/>
                <w:sz w:val="24"/>
                <w:szCs w:val="24"/>
              </w:rPr>
              <w:t>n</w:t>
            </w:r>
            <w:r w:rsidRPr="007A4415">
              <w:rPr>
                <w:rFonts w:ascii="Arial" w:hAnsi="Arial" w:cs="Arial"/>
                <w:i/>
                <w:color w:val="000000"/>
                <w:sz w:val="24"/>
                <w:szCs w:val="24"/>
                <w:vertAlign w:val="subscript"/>
              </w:rPr>
              <w:t>Seli</w:t>
            </w:r>
            <w:r w:rsidRPr="00F01F75">
              <w:rPr>
                <w:rFonts w:ascii="Arial" w:hAnsi="Arial" w:cs="Arial"/>
                <w:i/>
                <w:color w:val="000000"/>
                <w:sz w:val="24"/>
                <w:szCs w:val="24"/>
                <w:vertAlign w:val="subscript"/>
              </w:rPr>
              <w:t>c</w:t>
            </w:r>
          </w:p>
        </w:tc>
        <w:tc>
          <w:tcPr>
            <w:tcW w:w="464" w:type="dxa"/>
            <w:shd w:val="clear" w:color="auto" w:fill="auto"/>
          </w:tcPr>
          <w:p w14:paraId="6EA4E758" w14:textId="77777777" w:rsidR="00BC6130" w:rsidRPr="00F01F75" w:rsidRDefault="00BC6130" w:rsidP="00003AC6">
            <w:pPr>
              <w:jc w:val="both"/>
              <w:rPr>
                <w:rFonts w:ascii="Arial" w:hAnsi="Arial" w:cs="Arial"/>
                <w:i/>
                <w:color w:val="000000"/>
                <w:sz w:val="24"/>
                <w:szCs w:val="24"/>
              </w:rPr>
            </w:pPr>
            <w:r w:rsidRPr="00F01F75">
              <w:rPr>
                <w:rFonts w:ascii="Arial" w:hAnsi="Arial" w:cs="Arial"/>
                <w:i/>
                <w:color w:val="000000"/>
                <w:sz w:val="24"/>
                <w:szCs w:val="24"/>
              </w:rPr>
              <w:t>=</w:t>
            </w:r>
          </w:p>
        </w:tc>
        <w:tc>
          <w:tcPr>
            <w:tcW w:w="7001" w:type="dxa"/>
            <w:shd w:val="clear" w:color="auto" w:fill="auto"/>
          </w:tcPr>
          <w:p w14:paraId="474C0A89" w14:textId="77777777" w:rsidR="00BC6130" w:rsidRPr="00F01F75" w:rsidRDefault="00BC6130" w:rsidP="00003AC6">
            <w:pPr>
              <w:jc w:val="both"/>
              <w:rPr>
                <w:rFonts w:ascii="Arial" w:hAnsi="Arial" w:cs="Arial"/>
                <w:color w:val="000000"/>
                <w:sz w:val="24"/>
                <w:szCs w:val="24"/>
              </w:rPr>
            </w:pPr>
            <w:r w:rsidRPr="00F01F75">
              <w:rPr>
                <w:rFonts w:ascii="Arial" w:hAnsi="Arial" w:cs="Arial"/>
                <w:color w:val="000000"/>
                <w:sz w:val="24"/>
                <w:szCs w:val="24"/>
              </w:rPr>
              <w:t>número inteiro equivalente ao número total de Taxas SELIC;</w:t>
            </w:r>
          </w:p>
        </w:tc>
      </w:tr>
      <w:tr w:rsidR="00BC6130" w:rsidRPr="00797A8C" w14:paraId="24A04A58" w14:textId="77777777" w:rsidTr="00003AC6">
        <w:tc>
          <w:tcPr>
            <w:tcW w:w="935" w:type="dxa"/>
            <w:shd w:val="clear" w:color="auto" w:fill="auto"/>
          </w:tcPr>
          <w:p w14:paraId="016C6A91" w14:textId="77777777" w:rsidR="00BC6130" w:rsidRPr="00797A8C" w:rsidRDefault="00BC6130" w:rsidP="00003AC6">
            <w:pPr>
              <w:jc w:val="both"/>
              <w:rPr>
                <w:rFonts w:ascii="Arial" w:hAnsi="Arial" w:cs="Arial"/>
                <w:i/>
                <w:color w:val="000000"/>
                <w:sz w:val="24"/>
                <w:szCs w:val="24"/>
              </w:rPr>
            </w:pPr>
            <w:r w:rsidRPr="00797A8C">
              <w:rPr>
                <w:rFonts w:ascii="Arial" w:hAnsi="Arial" w:cs="Arial"/>
                <w:i/>
                <w:color w:val="000000"/>
                <w:sz w:val="24"/>
                <w:szCs w:val="24"/>
              </w:rPr>
              <w:t>TSelic</w:t>
            </w:r>
            <w:r w:rsidRPr="00797A8C">
              <w:rPr>
                <w:rFonts w:ascii="Arial" w:hAnsi="Arial" w:cs="Arial"/>
                <w:i/>
                <w:color w:val="000000"/>
                <w:sz w:val="24"/>
                <w:szCs w:val="24"/>
                <w:vertAlign w:val="subscript"/>
              </w:rPr>
              <w:t>k</w:t>
            </w:r>
          </w:p>
        </w:tc>
        <w:tc>
          <w:tcPr>
            <w:tcW w:w="464" w:type="dxa"/>
            <w:shd w:val="clear" w:color="auto" w:fill="auto"/>
          </w:tcPr>
          <w:p w14:paraId="37410056" w14:textId="77777777" w:rsidR="00BC6130" w:rsidRPr="00050EC3" w:rsidRDefault="00BC6130" w:rsidP="00003AC6">
            <w:pPr>
              <w:jc w:val="both"/>
              <w:rPr>
                <w:rFonts w:ascii="Arial" w:hAnsi="Arial" w:cs="Arial"/>
                <w:i/>
                <w:color w:val="000000"/>
                <w:sz w:val="24"/>
                <w:szCs w:val="24"/>
              </w:rPr>
            </w:pPr>
            <w:r w:rsidRPr="00050EC3">
              <w:rPr>
                <w:rFonts w:ascii="Arial" w:hAnsi="Arial" w:cs="Arial"/>
                <w:i/>
                <w:color w:val="000000"/>
                <w:sz w:val="24"/>
                <w:szCs w:val="24"/>
              </w:rPr>
              <w:t>=</w:t>
            </w:r>
          </w:p>
        </w:tc>
        <w:tc>
          <w:tcPr>
            <w:tcW w:w="7001" w:type="dxa"/>
            <w:shd w:val="clear" w:color="auto" w:fill="auto"/>
          </w:tcPr>
          <w:p w14:paraId="53B6BDE8" w14:textId="77777777" w:rsidR="00BC6130" w:rsidRPr="00B82233" w:rsidRDefault="00BC6130" w:rsidP="00003AC6">
            <w:pPr>
              <w:jc w:val="both"/>
              <w:rPr>
                <w:rFonts w:ascii="Arial" w:hAnsi="Arial" w:cs="Arial"/>
                <w:color w:val="000000"/>
                <w:sz w:val="24"/>
                <w:szCs w:val="24"/>
              </w:rPr>
            </w:pPr>
            <w:r w:rsidRPr="007A4415">
              <w:rPr>
                <w:rFonts w:ascii="Arial" w:hAnsi="Arial" w:cs="Arial"/>
                <w:color w:val="000000"/>
                <w:sz w:val="24"/>
                <w:szCs w:val="24"/>
              </w:rPr>
              <w:t xml:space="preserve"> Taxa SELIC, defasada de 2 (dois) dias úteis em relação ao dia “k”, expressa ao dia,</w:t>
            </w:r>
            <w:r w:rsidRPr="007A4415" w:rsidDel="00C3495E">
              <w:rPr>
                <w:rFonts w:ascii="Arial" w:hAnsi="Arial" w:cs="Arial"/>
                <w:color w:val="000000"/>
                <w:sz w:val="24"/>
                <w:szCs w:val="24"/>
              </w:rPr>
              <w:t xml:space="preserve"> </w:t>
            </w:r>
            <w:r w:rsidRPr="007A4415">
              <w:rPr>
                <w:rFonts w:ascii="Arial" w:hAnsi="Arial" w:cs="Arial"/>
                <w:color w:val="000000"/>
                <w:sz w:val="24"/>
                <w:szCs w:val="24"/>
              </w:rPr>
              <w:t>apurada da seguinte forma:</w:t>
            </w:r>
          </w:p>
        </w:tc>
      </w:tr>
    </w:tbl>
    <w:p w14:paraId="3450DC60" w14:textId="77777777" w:rsidR="00BC6130" w:rsidRPr="00797A8C" w:rsidRDefault="00BC6130" w:rsidP="00BC6130">
      <w:pPr>
        <w:ind w:left="2833"/>
        <w:jc w:val="both"/>
        <w:rPr>
          <w:rFonts w:ascii="Arial" w:hAnsi="Arial" w:cs="Arial"/>
          <w:i/>
          <w:color w:val="000000"/>
          <w:sz w:val="24"/>
          <w:szCs w:val="24"/>
          <w:highlight w:val="yellow"/>
        </w:rPr>
      </w:pPr>
    </w:p>
    <w:p w14:paraId="1D231084" w14:textId="5D63AA9B" w:rsidR="00BC6130" w:rsidRPr="00797A8C" w:rsidRDefault="008E3FBF" w:rsidP="00BC6130">
      <w:pPr>
        <w:ind w:left="1134"/>
        <w:jc w:val="both"/>
        <w:rPr>
          <w:rFonts w:ascii="Arial" w:hAnsi="Arial" w:cs="Arial"/>
          <w:color w:val="000000"/>
          <w:sz w:val="24"/>
          <w:szCs w:val="24"/>
        </w:rPr>
      </w:pPr>
      <w:r w:rsidRPr="00797A8C">
        <w:rPr>
          <w:rFonts w:ascii="Arial" w:hAnsi="Arial" w:cs="Arial"/>
          <w:i/>
          <w:noProof/>
          <w:color w:val="000000"/>
          <w:position w:val="-46"/>
          <w:sz w:val="24"/>
          <w:szCs w:val="24"/>
        </w:rPr>
        <w:drawing>
          <wp:inline distT="0" distB="0" distL="0" distR="0" wp14:anchorId="47717BF6" wp14:editId="1D72EFBB">
            <wp:extent cx="1955800" cy="652145"/>
            <wp:effectExtent l="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5800" cy="652145"/>
                    </a:xfrm>
                    <a:prstGeom prst="rect">
                      <a:avLst/>
                    </a:prstGeom>
                    <a:noFill/>
                    <a:ln>
                      <a:noFill/>
                    </a:ln>
                  </pic:spPr>
                </pic:pic>
              </a:graphicData>
            </a:graphic>
          </wp:inline>
        </w:drawing>
      </w:r>
    </w:p>
    <w:p w14:paraId="653D4FEC" w14:textId="77777777" w:rsidR="00BC6130" w:rsidRPr="00797A8C" w:rsidRDefault="00BC6130" w:rsidP="00BC6130">
      <w:pPr>
        <w:ind w:left="1080"/>
        <w:jc w:val="both"/>
        <w:rPr>
          <w:rFonts w:ascii="Arial" w:hAnsi="Arial" w:cs="Arial"/>
          <w:iCs/>
          <w:color w:val="000000"/>
          <w:sz w:val="24"/>
          <w:szCs w:val="24"/>
        </w:rPr>
      </w:pPr>
      <w:r w:rsidRPr="00797A8C">
        <w:rPr>
          <w:rFonts w:ascii="Arial" w:hAnsi="Arial" w:cs="Arial"/>
          <w:iCs/>
          <w:color w:val="000000"/>
          <w:sz w:val="24"/>
          <w:szCs w:val="24"/>
        </w:rPr>
        <w:t>Em que:</w:t>
      </w:r>
    </w:p>
    <w:p w14:paraId="7C3004DF" w14:textId="77777777" w:rsidR="00BC6130" w:rsidRPr="00050EC3" w:rsidRDefault="00BC6130" w:rsidP="00BC6130">
      <w:pPr>
        <w:ind w:left="2833"/>
        <w:jc w:val="both"/>
        <w:rPr>
          <w:rFonts w:ascii="Arial" w:hAnsi="Arial" w:cs="Arial"/>
          <w:i/>
          <w:color w:val="000000"/>
          <w:sz w:val="24"/>
          <w:szCs w:val="24"/>
          <w:highlight w:val="yellow"/>
        </w:rPr>
      </w:pPr>
    </w:p>
    <w:tbl>
      <w:tblPr>
        <w:tblW w:w="84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3"/>
        <w:gridCol w:w="464"/>
        <w:gridCol w:w="6833"/>
      </w:tblGrid>
      <w:tr w:rsidR="00BC6130" w:rsidRPr="00797A8C" w14:paraId="3381AA1E" w14:textId="77777777" w:rsidTr="00003AC6">
        <w:tc>
          <w:tcPr>
            <w:tcW w:w="1103" w:type="dxa"/>
            <w:shd w:val="clear" w:color="auto" w:fill="auto"/>
          </w:tcPr>
          <w:p w14:paraId="5937CDAE" w14:textId="77777777" w:rsidR="00BC6130" w:rsidRPr="007A4415" w:rsidRDefault="00BC6130" w:rsidP="00003AC6">
            <w:pPr>
              <w:jc w:val="both"/>
              <w:rPr>
                <w:rFonts w:ascii="Arial" w:hAnsi="Arial" w:cs="Arial"/>
                <w:i/>
                <w:color w:val="000000"/>
                <w:sz w:val="24"/>
                <w:szCs w:val="24"/>
              </w:rPr>
            </w:pPr>
            <w:r w:rsidRPr="007A4415">
              <w:rPr>
                <w:rFonts w:ascii="Arial" w:hAnsi="Arial" w:cs="Arial"/>
                <w:i/>
                <w:color w:val="000000"/>
                <w:sz w:val="24"/>
                <w:szCs w:val="24"/>
              </w:rPr>
              <w:lastRenderedPageBreak/>
              <w:t>k</w:t>
            </w:r>
          </w:p>
        </w:tc>
        <w:tc>
          <w:tcPr>
            <w:tcW w:w="464" w:type="dxa"/>
            <w:shd w:val="clear" w:color="auto" w:fill="auto"/>
          </w:tcPr>
          <w:p w14:paraId="4CDA70FD" w14:textId="77777777" w:rsidR="00BC6130" w:rsidRPr="007A4415" w:rsidRDefault="00BC6130" w:rsidP="00003AC6">
            <w:pPr>
              <w:jc w:val="both"/>
              <w:rPr>
                <w:rFonts w:ascii="Arial" w:hAnsi="Arial" w:cs="Arial"/>
                <w:i/>
                <w:color w:val="000000"/>
                <w:sz w:val="24"/>
                <w:szCs w:val="24"/>
              </w:rPr>
            </w:pPr>
            <w:r w:rsidRPr="007A4415">
              <w:rPr>
                <w:rFonts w:ascii="Arial" w:hAnsi="Arial" w:cs="Arial"/>
                <w:i/>
                <w:color w:val="000000"/>
                <w:sz w:val="24"/>
                <w:szCs w:val="24"/>
              </w:rPr>
              <w:t>=</w:t>
            </w:r>
          </w:p>
        </w:tc>
        <w:tc>
          <w:tcPr>
            <w:tcW w:w="6833" w:type="dxa"/>
            <w:shd w:val="clear" w:color="auto" w:fill="auto"/>
          </w:tcPr>
          <w:p w14:paraId="732D7F83" w14:textId="77777777" w:rsidR="00BC6130" w:rsidRPr="007A4415" w:rsidRDefault="00BC6130" w:rsidP="00003AC6">
            <w:pPr>
              <w:jc w:val="both"/>
              <w:rPr>
                <w:rFonts w:ascii="Arial" w:hAnsi="Arial" w:cs="Arial"/>
                <w:color w:val="000000"/>
                <w:sz w:val="24"/>
                <w:szCs w:val="24"/>
              </w:rPr>
            </w:pPr>
            <w:r w:rsidRPr="007A4415">
              <w:rPr>
                <w:rFonts w:ascii="Arial" w:hAnsi="Arial" w:cs="Arial"/>
                <w:color w:val="000000"/>
                <w:sz w:val="24"/>
                <w:szCs w:val="24"/>
              </w:rPr>
              <w:t>número inteiro equivalente ao dia (1, 2, ..., n);</w:t>
            </w:r>
          </w:p>
        </w:tc>
      </w:tr>
      <w:tr w:rsidR="00BC6130" w:rsidRPr="00797A8C" w14:paraId="35F47645" w14:textId="77777777" w:rsidTr="00003AC6">
        <w:tc>
          <w:tcPr>
            <w:tcW w:w="1103" w:type="dxa"/>
            <w:shd w:val="clear" w:color="auto" w:fill="auto"/>
          </w:tcPr>
          <w:p w14:paraId="10681F89" w14:textId="77777777" w:rsidR="00BC6130" w:rsidRPr="00797A8C" w:rsidRDefault="00BC6130" w:rsidP="00003AC6">
            <w:pPr>
              <w:jc w:val="both"/>
              <w:rPr>
                <w:rFonts w:ascii="Arial" w:hAnsi="Arial" w:cs="Arial"/>
                <w:i/>
                <w:color w:val="000000"/>
                <w:sz w:val="24"/>
                <w:szCs w:val="24"/>
              </w:rPr>
            </w:pPr>
            <w:r w:rsidRPr="00797A8C">
              <w:rPr>
                <w:rFonts w:ascii="Arial" w:hAnsi="Arial" w:cs="Arial"/>
                <w:i/>
                <w:color w:val="000000"/>
                <w:sz w:val="24"/>
                <w:szCs w:val="24"/>
              </w:rPr>
              <w:t>Selic</w:t>
            </w:r>
            <w:r w:rsidRPr="00797A8C">
              <w:rPr>
                <w:rFonts w:ascii="Arial" w:hAnsi="Arial" w:cs="Arial"/>
                <w:i/>
                <w:color w:val="000000"/>
                <w:sz w:val="24"/>
                <w:szCs w:val="24"/>
                <w:vertAlign w:val="subscript"/>
              </w:rPr>
              <w:t>k</w:t>
            </w:r>
          </w:p>
        </w:tc>
        <w:tc>
          <w:tcPr>
            <w:tcW w:w="464" w:type="dxa"/>
            <w:shd w:val="clear" w:color="auto" w:fill="auto"/>
          </w:tcPr>
          <w:p w14:paraId="058E8E0F" w14:textId="77777777" w:rsidR="00BC6130" w:rsidRPr="00050EC3" w:rsidRDefault="00BC6130" w:rsidP="00003AC6">
            <w:pPr>
              <w:jc w:val="both"/>
              <w:rPr>
                <w:rFonts w:ascii="Arial" w:hAnsi="Arial" w:cs="Arial"/>
                <w:i/>
                <w:color w:val="000000"/>
                <w:sz w:val="24"/>
                <w:szCs w:val="24"/>
              </w:rPr>
            </w:pPr>
            <w:r w:rsidRPr="00050EC3">
              <w:rPr>
                <w:rFonts w:ascii="Arial" w:hAnsi="Arial" w:cs="Arial"/>
                <w:i/>
                <w:color w:val="000000"/>
                <w:sz w:val="24"/>
                <w:szCs w:val="24"/>
              </w:rPr>
              <w:t>=</w:t>
            </w:r>
          </w:p>
        </w:tc>
        <w:tc>
          <w:tcPr>
            <w:tcW w:w="6833" w:type="dxa"/>
            <w:shd w:val="clear" w:color="auto" w:fill="auto"/>
          </w:tcPr>
          <w:p w14:paraId="48EC8D45" w14:textId="77777777" w:rsidR="00BC6130" w:rsidRPr="00B82233" w:rsidRDefault="00BC6130" w:rsidP="00003AC6">
            <w:pPr>
              <w:jc w:val="both"/>
              <w:rPr>
                <w:rFonts w:ascii="Arial" w:hAnsi="Arial" w:cs="Arial"/>
                <w:color w:val="000000"/>
                <w:sz w:val="24"/>
                <w:szCs w:val="24"/>
              </w:rPr>
            </w:pPr>
            <w:r w:rsidRPr="007A4415">
              <w:rPr>
                <w:rFonts w:ascii="Arial" w:hAnsi="Arial" w:cs="Arial"/>
                <w:color w:val="000000"/>
                <w:sz w:val="24"/>
                <w:szCs w:val="24"/>
              </w:rPr>
              <w:t>Taxa SELIC, expressa ao ano (base de 252 dias úteis), defasada de 2 (dois) dias úteis em relação ao dia “k”; divulgada pelo Banco Central do Brasil;</w:t>
            </w:r>
          </w:p>
        </w:tc>
      </w:tr>
    </w:tbl>
    <w:p w14:paraId="7E6A059C" w14:textId="77777777" w:rsidR="00BC6130" w:rsidRPr="00797A8C" w:rsidRDefault="00BC6130" w:rsidP="00BC6130">
      <w:pPr>
        <w:tabs>
          <w:tab w:val="left" w:pos="1320"/>
        </w:tabs>
        <w:spacing w:after="120"/>
        <w:ind w:left="1320" w:hanging="720"/>
        <w:jc w:val="both"/>
        <w:rPr>
          <w:rFonts w:ascii="Arial" w:hAnsi="Arial" w:cs="Arial"/>
          <w:color w:val="000000"/>
          <w:sz w:val="24"/>
          <w:szCs w:val="24"/>
        </w:rPr>
      </w:pPr>
    </w:p>
    <w:p w14:paraId="44663BFD" w14:textId="77777777" w:rsidR="00BC6130" w:rsidRPr="007A4415" w:rsidRDefault="00BC6130" w:rsidP="00BC6130">
      <w:pPr>
        <w:tabs>
          <w:tab w:val="left" w:pos="1320"/>
        </w:tabs>
        <w:spacing w:after="120"/>
        <w:ind w:left="1320" w:hanging="720"/>
        <w:jc w:val="both"/>
        <w:rPr>
          <w:rFonts w:ascii="Arial" w:hAnsi="Arial" w:cs="Arial"/>
          <w:color w:val="000000"/>
          <w:sz w:val="24"/>
          <w:szCs w:val="24"/>
        </w:rPr>
      </w:pPr>
      <w:r w:rsidRPr="00797A8C">
        <w:rPr>
          <w:rFonts w:ascii="Arial" w:hAnsi="Arial" w:cs="Arial"/>
          <w:color w:val="000000"/>
          <w:sz w:val="24"/>
          <w:szCs w:val="24"/>
        </w:rPr>
        <w:t xml:space="preserve">           Define-se "Período de Capitalização" como sendo o intervalo de tempo que se inicia na data da primeira liberação do crédito, no caso do primeiro período, ou na data prevista do pagamento dos juros imediatamente anterior, no caso dos demais, e te</w:t>
      </w:r>
      <w:r w:rsidRPr="00050EC3">
        <w:rPr>
          <w:rFonts w:ascii="Arial" w:hAnsi="Arial" w:cs="Arial"/>
          <w:color w:val="000000"/>
          <w:sz w:val="24"/>
          <w:szCs w:val="24"/>
        </w:rPr>
        <w:t xml:space="preserve">rmina na data prevista do pagamento de juros correspondente ao período, sendo que cada Período de </w:t>
      </w:r>
      <w:r w:rsidRPr="007A4415">
        <w:rPr>
          <w:rFonts w:ascii="Arial" w:hAnsi="Arial" w:cs="Arial"/>
          <w:color w:val="000000"/>
          <w:sz w:val="24"/>
          <w:szCs w:val="24"/>
        </w:rPr>
        <w:t>Capitalização sucede o anterior sem solução de continuidade.</w:t>
      </w:r>
    </w:p>
    <w:p w14:paraId="21183EBD" w14:textId="77777777" w:rsidR="00BC6130" w:rsidRPr="00F01F75" w:rsidRDefault="00BC6130" w:rsidP="00BC6130">
      <w:pPr>
        <w:tabs>
          <w:tab w:val="left" w:pos="1320"/>
        </w:tabs>
        <w:spacing w:after="120"/>
        <w:ind w:left="1320" w:hanging="720"/>
        <w:jc w:val="both"/>
        <w:rPr>
          <w:rFonts w:ascii="Arial" w:hAnsi="Arial" w:cs="Arial"/>
          <w:color w:val="000000"/>
          <w:sz w:val="24"/>
          <w:szCs w:val="24"/>
        </w:rPr>
      </w:pPr>
      <w:r w:rsidRPr="007A4415">
        <w:rPr>
          <w:rFonts w:ascii="Arial" w:hAnsi="Arial" w:cs="Arial"/>
          <w:color w:val="000000"/>
          <w:sz w:val="24"/>
          <w:szCs w:val="24"/>
        </w:rPr>
        <w:t xml:space="preserve">            A Taxa SELIC deverá ser utilizada considerando idêntico número de casas decimais divulgado pelo órgão responsável pelo seu cálculo</w:t>
      </w:r>
      <w:r w:rsidRPr="00F01F75">
        <w:rPr>
          <w:rFonts w:ascii="Arial" w:hAnsi="Arial" w:cs="Arial"/>
          <w:color w:val="000000"/>
          <w:sz w:val="24"/>
          <w:szCs w:val="24"/>
        </w:rPr>
        <w:t>.</w:t>
      </w:r>
    </w:p>
    <w:p w14:paraId="3A2BACBB" w14:textId="77777777" w:rsidR="00BC6130" w:rsidRPr="00F01F75" w:rsidRDefault="00BC6130" w:rsidP="00BC6130">
      <w:pPr>
        <w:tabs>
          <w:tab w:val="left" w:pos="1320"/>
        </w:tabs>
        <w:spacing w:after="120"/>
        <w:ind w:left="1320" w:hanging="720"/>
        <w:jc w:val="both"/>
        <w:rPr>
          <w:rFonts w:ascii="Arial" w:hAnsi="Arial" w:cs="Arial"/>
          <w:color w:val="000000"/>
          <w:sz w:val="24"/>
          <w:szCs w:val="24"/>
        </w:rPr>
      </w:pPr>
      <w:r w:rsidRPr="00F01F75">
        <w:rPr>
          <w:rFonts w:ascii="Arial" w:hAnsi="Arial" w:cs="Arial"/>
          <w:color w:val="000000"/>
          <w:sz w:val="24"/>
          <w:szCs w:val="24"/>
        </w:rPr>
        <w:t xml:space="preserve">           No caso de indisponibilidade temporária da Taxa SELIC quando do pagamento de qualquer obrigação pecuniária prevista no Contrato, será utilizada a última Taxa SELIC conhecida até a data do cálculo, não sendo devidas quaisquer compensações financeiras tanto pelo credor quanto pelo devedor, quando da divulgação posterior da Taxa SELIC, observado o disposto no parágrafo abaixo.</w:t>
      </w:r>
    </w:p>
    <w:p w14:paraId="388E5421" w14:textId="35AFD1D9" w:rsidR="00BC6130" w:rsidRPr="00797A8C" w:rsidRDefault="00BC6130" w:rsidP="00BC6130">
      <w:pPr>
        <w:tabs>
          <w:tab w:val="left" w:pos="1320"/>
        </w:tabs>
        <w:spacing w:after="120"/>
        <w:ind w:left="1320" w:hanging="720"/>
        <w:jc w:val="both"/>
        <w:rPr>
          <w:rFonts w:ascii="Arial" w:hAnsi="Arial" w:cs="Arial"/>
          <w:color w:val="000000"/>
          <w:sz w:val="24"/>
          <w:szCs w:val="24"/>
        </w:rPr>
      </w:pPr>
      <w:r w:rsidRPr="00F01F75">
        <w:rPr>
          <w:rFonts w:ascii="Arial" w:hAnsi="Arial" w:cs="Arial"/>
          <w:color w:val="000000"/>
          <w:sz w:val="24"/>
          <w:szCs w:val="24"/>
        </w:rPr>
        <w:t xml:space="preserve">           Na hipótese de indisponibilidade da Taxa SELIC, a que se refere o parágrafo anterior, por período superior a 60 (sessenta) dias ou de extinção da Taxa SELIC, pela s</w:t>
      </w:r>
      <w:r w:rsidRPr="00295C28">
        <w:rPr>
          <w:rFonts w:ascii="Arial" w:hAnsi="Arial" w:cs="Arial"/>
          <w:color w:val="000000"/>
          <w:sz w:val="24"/>
          <w:szCs w:val="24"/>
        </w:rPr>
        <w:t xml:space="preserve">uperveniência de normas legais ou regulamentares, ou alteração dos critérios de sua aplicação, o Sistema BNDES escolherá um índice substituto que melhor preserve o valor real da operação e a remunere nos mesmos níveis anteriores. </w:t>
      </w:r>
      <w:r w:rsidRPr="00B82233">
        <w:rPr>
          <w:rFonts w:ascii="Arial" w:hAnsi="Arial" w:cs="Arial"/>
          <w:sz w:val="24"/>
          <w:szCs w:val="24"/>
        </w:rPr>
        <w:t xml:space="preserve">Nesse caso, </w:t>
      </w:r>
      <w:r w:rsidR="007D330D" w:rsidRPr="00B82233">
        <w:rPr>
          <w:rFonts w:ascii="Arial" w:hAnsi="Arial" w:cs="Arial"/>
          <w:sz w:val="24"/>
          <w:szCs w:val="24"/>
        </w:rPr>
        <w:t xml:space="preserve">o </w:t>
      </w:r>
      <w:r w:rsidR="0006491F">
        <w:rPr>
          <w:rFonts w:ascii="Arial" w:hAnsi="Arial" w:cs="Arial"/>
          <w:sz w:val="24"/>
          <w:szCs w:val="24"/>
        </w:rPr>
        <w:t xml:space="preserve">Sistema </w:t>
      </w:r>
      <w:r w:rsidR="007D330D" w:rsidRPr="00B82233">
        <w:rPr>
          <w:rFonts w:ascii="Arial" w:hAnsi="Arial" w:cs="Arial"/>
          <w:sz w:val="24"/>
          <w:szCs w:val="24"/>
        </w:rPr>
        <w:t xml:space="preserve">BNDES comunicará a alteração por escrito à </w:t>
      </w:r>
      <w:r w:rsidRPr="00B82233">
        <w:rPr>
          <w:rFonts w:ascii="Arial" w:hAnsi="Arial" w:cs="Arial"/>
          <w:sz w:val="24"/>
          <w:szCs w:val="24"/>
        </w:rPr>
        <w:t>INSTITUIÇÃO FINANCEIRA CREDENCIADA</w:t>
      </w:r>
      <w:r w:rsidR="007D330D" w:rsidRPr="00B82233">
        <w:rPr>
          <w:rFonts w:ascii="Arial" w:hAnsi="Arial" w:cs="Arial"/>
          <w:sz w:val="24"/>
          <w:szCs w:val="24"/>
        </w:rPr>
        <w:t xml:space="preserve"> que deverá igualmente </w:t>
      </w:r>
      <w:r w:rsidRPr="00B82233">
        <w:rPr>
          <w:rFonts w:ascii="Arial" w:hAnsi="Arial" w:cs="Arial"/>
          <w:sz w:val="24"/>
          <w:szCs w:val="24"/>
        </w:rPr>
        <w:t xml:space="preserve">comunicar a alteração por escrito, </w:t>
      </w:r>
      <w:r w:rsidR="0080070D">
        <w:rPr>
          <w:rFonts w:ascii="Arial" w:hAnsi="Arial" w:cs="Arial"/>
          <w:sz w:val="24"/>
          <w:szCs w:val="24"/>
        </w:rPr>
        <w:t>ao</w:t>
      </w:r>
      <w:r w:rsidR="0080070D" w:rsidRPr="00B82233">
        <w:rPr>
          <w:rFonts w:ascii="Arial" w:hAnsi="Arial" w:cs="Arial"/>
          <w:sz w:val="24"/>
          <w:szCs w:val="24"/>
        </w:rPr>
        <w:t xml:space="preserve"> </w:t>
      </w:r>
      <w:r w:rsidR="004C5446">
        <w:rPr>
          <w:rFonts w:ascii="Arial" w:hAnsi="Arial" w:cs="Arial"/>
          <w:sz w:val="24"/>
          <w:szCs w:val="24"/>
        </w:rPr>
        <w:t>CLIENTE</w:t>
      </w:r>
      <w:r w:rsidRPr="00797A8C">
        <w:rPr>
          <w:rFonts w:ascii="Arial" w:hAnsi="Arial" w:cs="Arial"/>
          <w:color w:val="000000"/>
          <w:sz w:val="24"/>
          <w:szCs w:val="24"/>
        </w:rPr>
        <w:t xml:space="preserve">. </w:t>
      </w:r>
    </w:p>
    <w:p w14:paraId="473E59CB" w14:textId="06AA6B09" w:rsidR="00BC6130" w:rsidRPr="00295C28" w:rsidRDefault="00BC6130" w:rsidP="00BC6130">
      <w:pPr>
        <w:tabs>
          <w:tab w:val="left" w:pos="1320"/>
        </w:tabs>
        <w:spacing w:after="120"/>
        <w:ind w:left="1320" w:hanging="720"/>
        <w:jc w:val="both"/>
        <w:rPr>
          <w:rFonts w:ascii="Arial" w:hAnsi="Arial" w:cs="Arial"/>
          <w:color w:val="000000"/>
          <w:sz w:val="24"/>
          <w:szCs w:val="24"/>
        </w:rPr>
      </w:pPr>
      <w:r w:rsidRPr="00050EC3">
        <w:rPr>
          <w:rFonts w:ascii="Arial" w:hAnsi="Arial" w:cs="Arial"/>
          <w:color w:val="000000"/>
          <w:sz w:val="24"/>
          <w:szCs w:val="24"/>
        </w:rPr>
        <w:t xml:space="preserve">           O montante apurado, nos termos da Cláusula de Juros, será exigível ................ [trimestral</w:t>
      </w:r>
      <w:r w:rsidRPr="007A4415">
        <w:rPr>
          <w:rFonts w:ascii="Arial" w:hAnsi="Arial" w:cs="Arial"/>
          <w:color w:val="000000"/>
          <w:sz w:val="24"/>
          <w:szCs w:val="24"/>
        </w:rPr>
        <w:t>/semestral/anualmente], durante o prazo de carência, e ................ [mensal/semestral/anualmente], durante o período de amortização, juntamente com as parcelas de amortização do principal e no vencimento ou liquidação do Contrato, observado o disposto n</w:t>
      </w:r>
      <w:r w:rsidR="005F64AC">
        <w:rPr>
          <w:rFonts w:ascii="Arial" w:hAnsi="Arial" w:cs="Arial"/>
          <w:color w:val="000000"/>
          <w:sz w:val="24"/>
          <w:szCs w:val="24"/>
        </w:rPr>
        <w:t>a</w:t>
      </w:r>
      <w:r w:rsidR="009560C0" w:rsidRPr="007A4415">
        <w:rPr>
          <w:rFonts w:ascii="Arial" w:hAnsi="Arial" w:cs="Arial"/>
          <w:color w:val="000000"/>
          <w:sz w:val="24"/>
          <w:szCs w:val="24"/>
        </w:rPr>
        <w:t xml:space="preserve"> </w:t>
      </w:r>
      <w:r w:rsidR="005F64AC">
        <w:rPr>
          <w:rFonts w:ascii="Arial" w:hAnsi="Arial" w:cs="Arial"/>
          <w:color w:val="000000"/>
          <w:sz w:val="24"/>
          <w:szCs w:val="24"/>
        </w:rPr>
        <w:t>Cláusula</w:t>
      </w:r>
      <w:r w:rsidRPr="00F01F75">
        <w:rPr>
          <w:rFonts w:ascii="Arial" w:hAnsi="Arial" w:cs="Arial"/>
          <w:color w:val="000000"/>
          <w:sz w:val="24"/>
          <w:szCs w:val="24"/>
        </w:rPr>
        <w:t xml:space="preserve"> </w:t>
      </w:r>
      <w:r w:rsidR="00AF5489" w:rsidRPr="00F01F75">
        <w:rPr>
          <w:rFonts w:ascii="Arial" w:hAnsi="Arial" w:cs="Arial"/>
          <w:color w:val="000000"/>
          <w:sz w:val="24"/>
          <w:szCs w:val="24"/>
        </w:rPr>
        <w:t>“VENCIMENTO EM DIAS FERIADOS</w:t>
      </w:r>
      <w:r w:rsidR="00AF5489" w:rsidRPr="00295C28">
        <w:rPr>
          <w:rFonts w:ascii="Arial" w:hAnsi="Arial" w:cs="Arial"/>
          <w:color w:val="000000"/>
          <w:sz w:val="24"/>
          <w:szCs w:val="24"/>
        </w:rPr>
        <w:t>”</w:t>
      </w:r>
      <w:r w:rsidRPr="00295C28">
        <w:rPr>
          <w:rFonts w:ascii="Arial" w:hAnsi="Arial" w:cs="Arial"/>
          <w:color w:val="000000"/>
          <w:sz w:val="24"/>
          <w:szCs w:val="24"/>
        </w:rPr>
        <w:t>.</w:t>
      </w:r>
    </w:p>
    <w:p w14:paraId="3E07987D" w14:textId="77777777" w:rsidR="00BC6130" w:rsidRPr="00B82233" w:rsidRDefault="00BC6130" w:rsidP="00BC6130">
      <w:pPr>
        <w:jc w:val="both"/>
        <w:rPr>
          <w:rFonts w:ascii="Arial" w:hAnsi="Arial" w:cs="Arial"/>
          <w:sz w:val="24"/>
          <w:szCs w:val="24"/>
          <w:u w:val="single"/>
        </w:rPr>
      </w:pPr>
    </w:p>
    <w:p w14:paraId="261BF379" w14:textId="77777777" w:rsidR="0080471B" w:rsidRPr="00B82233" w:rsidRDefault="0080471B" w:rsidP="0080471B">
      <w:pPr>
        <w:jc w:val="both"/>
        <w:rPr>
          <w:rFonts w:ascii="Arial" w:hAnsi="Arial" w:cs="Arial"/>
          <w:sz w:val="24"/>
          <w:szCs w:val="24"/>
        </w:rPr>
      </w:pPr>
      <w:r w:rsidRPr="00B82233">
        <w:rPr>
          <w:rFonts w:ascii="Arial" w:hAnsi="Arial" w:cs="Arial"/>
          <w:sz w:val="24"/>
          <w:szCs w:val="24"/>
        </w:rPr>
        <w:t>Considerando que a dívida está sujeita à variação diária da Taxa SELIC, a cobrança da dívida será emitida pela INSTITUIÇÃO FINANCEIRA CREDENCIADA com a indicação de um valor referencial nesse indicador, cuja cotação deverá ser obtida no portal oficial do Sistema BNDES na Internet (</w:t>
      </w:r>
      <w:hyperlink r:id="rId16" w:history="1">
        <w:r w:rsidRPr="00B82233">
          <w:rPr>
            <w:rFonts w:ascii="Arial" w:hAnsi="Arial" w:cs="Arial"/>
            <w:color w:val="000000"/>
            <w:sz w:val="24"/>
            <w:szCs w:val="24"/>
            <w:u w:val="single"/>
          </w:rPr>
          <w:t>http://www.bndes.gov.br/SiteBNDES/bndes/bndes_pt/Ferramentas_e_Normas/Moedas_Contratuais</w:t>
        </w:r>
      </w:hyperlink>
      <w:r w:rsidRPr="00B82233">
        <w:rPr>
          <w:rFonts w:ascii="Arial" w:hAnsi="Arial" w:cs="Arial"/>
          <w:color w:val="000000"/>
          <w:sz w:val="24"/>
          <w:szCs w:val="24"/>
        </w:rPr>
        <w:t>- código 143</w:t>
      </w:r>
      <w:r w:rsidRPr="00B82233">
        <w:rPr>
          <w:rFonts w:ascii="Arial" w:hAnsi="Arial" w:cs="Arial"/>
          <w:sz w:val="24"/>
          <w:szCs w:val="24"/>
        </w:rPr>
        <w:t>), sendo o valor do pagamento devido em moeda corrente, apurado pela respectiva cotação válida para o dia do efetivo pagamento.</w:t>
      </w:r>
    </w:p>
    <w:p w14:paraId="1B034AE2" w14:textId="77777777" w:rsidR="00B673FD" w:rsidRPr="00B82233" w:rsidRDefault="00B673FD" w:rsidP="00BC6130">
      <w:pPr>
        <w:autoSpaceDE w:val="0"/>
        <w:autoSpaceDN w:val="0"/>
        <w:adjustRightInd w:val="0"/>
        <w:spacing w:before="120" w:after="120" w:line="240" w:lineRule="atLeast"/>
        <w:jc w:val="both"/>
        <w:rPr>
          <w:rFonts w:ascii="Arial" w:hAnsi="Arial" w:cs="Arial"/>
          <w:color w:val="000000"/>
          <w:sz w:val="24"/>
          <w:szCs w:val="24"/>
        </w:rPr>
      </w:pPr>
    </w:p>
    <w:p w14:paraId="0A85829C" w14:textId="77777777" w:rsidR="00BC6130" w:rsidRPr="00797A8C" w:rsidRDefault="00BC6130" w:rsidP="00BC6130">
      <w:pPr>
        <w:tabs>
          <w:tab w:val="left" w:pos="1320"/>
        </w:tabs>
        <w:spacing w:after="120"/>
        <w:jc w:val="both"/>
        <w:rPr>
          <w:rFonts w:ascii="Arial" w:hAnsi="Arial" w:cs="Arial"/>
          <w:color w:val="000000"/>
          <w:sz w:val="24"/>
          <w:szCs w:val="24"/>
        </w:rPr>
      </w:pPr>
    </w:p>
    <w:p w14:paraId="4F067776" w14:textId="56B1192F" w:rsidR="00BC6130" w:rsidRPr="002148F3" w:rsidRDefault="00BC6130" w:rsidP="002148F3">
      <w:pPr>
        <w:pStyle w:val="BNDES"/>
        <w:numPr>
          <w:ilvl w:val="0"/>
          <w:numId w:val="49"/>
        </w:numPr>
        <w:ind w:left="709" w:hanging="709"/>
        <w:rPr>
          <w:rFonts w:cs="Arial"/>
          <w:b/>
          <w:szCs w:val="24"/>
          <w:u w:val="single"/>
        </w:rPr>
      </w:pPr>
      <w:r w:rsidRPr="00797A8C">
        <w:rPr>
          <w:rFonts w:cs="Arial"/>
          <w:b/>
          <w:szCs w:val="24"/>
        </w:rPr>
        <w:br w:type="page"/>
      </w:r>
      <w:r w:rsidRPr="002148F3">
        <w:rPr>
          <w:rFonts w:cs="Arial"/>
          <w:b/>
          <w:szCs w:val="24"/>
          <w:u w:val="single"/>
        </w:rPr>
        <w:lastRenderedPageBreak/>
        <w:t>C</w:t>
      </w:r>
      <w:r w:rsidR="00CF776F" w:rsidRPr="002148F3">
        <w:rPr>
          <w:rFonts w:cs="Arial"/>
          <w:b/>
          <w:szCs w:val="24"/>
          <w:u w:val="single"/>
        </w:rPr>
        <w:t>láusulas e</w:t>
      </w:r>
      <w:r w:rsidR="00251AB8" w:rsidRPr="002148F3">
        <w:rPr>
          <w:rFonts w:cs="Arial"/>
          <w:b/>
          <w:szCs w:val="24"/>
          <w:u w:val="single"/>
        </w:rPr>
        <w:t>specíficas</w:t>
      </w:r>
      <w:r w:rsidRPr="002148F3">
        <w:rPr>
          <w:rFonts w:cs="Arial"/>
          <w:b/>
          <w:szCs w:val="24"/>
          <w:u w:val="single"/>
        </w:rPr>
        <w:t xml:space="preserve"> </w:t>
      </w:r>
      <w:r w:rsidR="00A028E0" w:rsidRPr="002148F3">
        <w:rPr>
          <w:rFonts w:cs="Arial"/>
          <w:b/>
          <w:szCs w:val="24"/>
          <w:u w:val="single"/>
        </w:rPr>
        <w:t xml:space="preserve">que deverão constar nos </w:t>
      </w:r>
      <w:r w:rsidR="00BC6883" w:rsidRPr="002148F3">
        <w:rPr>
          <w:rFonts w:cs="Arial"/>
          <w:b/>
          <w:szCs w:val="24"/>
          <w:u w:val="single"/>
        </w:rPr>
        <w:t xml:space="preserve">instrumentos jurídicos que formalizam a operação de crédito com </w:t>
      </w:r>
      <w:r w:rsidRPr="002148F3">
        <w:rPr>
          <w:rFonts w:cs="Arial"/>
          <w:b/>
          <w:szCs w:val="24"/>
          <w:u w:val="single"/>
        </w:rPr>
        <w:t>Custo Financeiro em TS</w:t>
      </w:r>
      <w:r w:rsidRPr="002148F3">
        <w:rPr>
          <w:rFonts w:cs="Arial"/>
          <w:b/>
          <w:szCs w:val="24"/>
          <w:u w:val="single"/>
          <w:vertAlign w:val="superscript"/>
        </w:rPr>
        <w:t>EXIG</w:t>
      </w:r>
      <w:r w:rsidRPr="002148F3">
        <w:rPr>
          <w:rFonts w:cs="Arial"/>
          <w:b/>
          <w:szCs w:val="24"/>
          <w:u w:val="single"/>
        </w:rPr>
        <w:t xml:space="preserve"> (EXIGÍVEL)</w:t>
      </w:r>
      <w:r w:rsidR="00F12212" w:rsidRPr="002148F3">
        <w:rPr>
          <w:rFonts w:cs="Arial"/>
          <w:b/>
          <w:szCs w:val="24"/>
          <w:u w:val="single"/>
        </w:rPr>
        <w:t xml:space="preserve">, </w:t>
      </w:r>
      <w:r w:rsidR="00B673FD" w:rsidRPr="002148F3">
        <w:rPr>
          <w:rFonts w:cs="Arial"/>
          <w:b/>
          <w:szCs w:val="24"/>
          <w:u w:val="single"/>
        </w:rPr>
        <w:t>observadas eventuais especificidades previstas nas Circulares dos Programas.</w:t>
      </w:r>
      <w:r w:rsidRPr="002148F3">
        <w:rPr>
          <w:rFonts w:cs="Arial"/>
          <w:b/>
          <w:szCs w:val="24"/>
          <w:u w:val="single"/>
        </w:rPr>
        <w:t xml:space="preserve"> </w:t>
      </w:r>
    </w:p>
    <w:p w14:paraId="630A66A7" w14:textId="77777777" w:rsidR="00BC6130" w:rsidRPr="00797A8C" w:rsidRDefault="00BC6130" w:rsidP="00BC6130">
      <w:pPr>
        <w:tabs>
          <w:tab w:val="left" w:pos="1320"/>
        </w:tabs>
        <w:spacing w:after="120"/>
        <w:jc w:val="both"/>
        <w:rPr>
          <w:rFonts w:ascii="Arial" w:hAnsi="Arial" w:cs="Arial"/>
          <w:b/>
          <w:sz w:val="24"/>
          <w:szCs w:val="24"/>
        </w:rPr>
      </w:pPr>
    </w:p>
    <w:p w14:paraId="3A398F1E" w14:textId="02D123DE" w:rsidR="00BC6130" w:rsidRPr="00B82233" w:rsidRDefault="00BC6130" w:rsidP="00BC6130">
      <w:pPr>
        <w:jc w:val="both"/>
        <w:rPr>
          <w:rFonts w:ascii="Arial" w:hAnsi="Arial" w:cs="Arial"/>
          <w:sz w:val="24"/>
          <w:szCs w:val="24"/>
        </w:rPr>
      </w:pPr>
      <w:r w:rsidRPr="00B82233">
        <w:rPr>
          <w:rFonts w:ascii="Arial" w:hAnsi="Arial" w:cs="Arial"/>
          <w:sz w:val="24"/>
          <w:szCs w:val="24"/>
          <w:u w:val="single"/>
        </w:rPr>
        <w:t>VALOR DO CRÉDITO</w:t>
      </w:r>
      <w:r w:rsidRPr="00B82233">
        <w:rPr>
          <w:rFonts w:ascii="Arial" w:hAnsi="Arial" w:cs="Arial"/>
          <w:sz w:val="24"/>
          <w:szCs w:val="24"/>
        </w:rPr>
        <w:t xml:space="preserve">: </w:t>
      </w:r>
      <w:r w:rsidR="002A1281" w:rsidRPr="00184662">
        <w:rPr>
          <w:rFonts w:ascii="Arial" w:hAnsi="Arial" w:cs="Arial"/>
          <w:sz w:val="24"/>
          <w:szCs w:val="24"/>
        </w:rPr>
        <w:t xml:space="preserve">R$ ................... (..............), a ser provido com recursos ordinários do </w:t>
      </w:r>
      <w:r w:rsidR="002A1281">
        <w:rPr>
          <w:rFonts w:ascii="Arial" w:hAnsi="Arial" w:cs="Arial"/>
          <w:sz w:val="24"/>
          <w:szCs w:val="24"/>
        </w:rPr>
        <w:t xml:space="preserve">Sistema </w:t>
      </w:r>
      <w:r w:rsidR="002A1281" w:rsidRPr="00184662">
        <w:rPr>
          <w:rFonts w:ascii="Arial" w:hAnsi="Arial" w:cs="Arial"/>
          <w:sz w:val="24"/>
          <w:szCs w:val="24"/>
        </w:rPr>
        <w:t xml:space="preserve">BNDES, que são compostos, dentre outras fontes, pelos recursos do Fundo de Amparo ao Trabalhador – FAT e pelos recursos originários do FAT – Depósitos Especiais, respeitada, quanto à sua alocação, a legislação aplicável a cada uma das aludidas fontes, à conta do Contrato de Abertura de Crédito (CAC) celebrado entre o </w:t>
      </w:r>
      <w:r w:rsidR="002A1281">
        <w:rPr>
          <w:rFonts w:ascii="Arial" w:hAnsi="Arial" w:cs="Arial"/>
          <w:sz w:val="24"/>
          <w:szCs w:val="24"/>
        </w:rPr>
        <w:t xml:space="preserve">Sistema </w:t>
      </w:r>
      <w:r w:rsidR="002A1281" w:rsidRPr="00184662">
        <w:rPr>
          <w:rFonts w:ascii="Arial" w:hAnsi="Arial" w:cs="Arial"/>
          <w:sz w:val="24"/>
          <w:szCs w:val="24"/>
        </w:rPr>
        <w:t>BNDES e INSTITUIÇÕES FINANCEIRAS CREDENCIADAS</w:t>
      </w:r>
      <w:r w:rsidRPr="00B82233">
        <w:rPr>
          <w:rFonts w:ascii="Arial" w:hAnsi="Arial" w:cs="Arial"/>
          <w:sz w:val="24"/>
          <w:szCs w:val="24"/>
        </w:rPr>
        <w:t>.</w:t>
      </w:r>
    </w:p>
    <w:p w14:paraId="4621CE92" w14:textId="77777777" w:rsidR="00BC6130" w:rsidRPr="00B82233" w:rsidRDefault="00BC6130" w:rsidP="00B82233">
      <w:pPr>
        <w:jc w:val="both"/>
        <w:rPr>
          <w:rFonts w:ascii="Arial" w:hAnsi="Arial" w:cs="Arial"/>
          <w:sz w:val="24"/>
          <w:szCs w:val="24"/>
        </w:rPr>
      </w:pPr>
    </w:p>
    <w:p w14:paraId="4B7EF190" w14:textId="3ACEA72C" w:rsidR="00340946" w:rsidRPr="00050EC3" w:rsidRDefault="00BC6130" w:rsidP="00340946">
      <w:pPr>
        <w:spacing w:before="120" w:after="120"/>
        <w:jc w:val="both"/>
        <w:rPr>
          <w:rFonts w:ascii="Arial" w:hAnsi="Arial" w:cs="Arial"/>
          <w:color w:val="000000"/>
          <w:sz w:val="24"/>
          <w:szCs w:val="24"/>
        </w:rPr>
      </w:pPr>
      <w:r w:rsidRPr="00B82233">
        <w:rPr>
          <w:rFonts w:ascii="Arial" w:hAnsi="Arial" w:cs="Arial"/>
          <w:sz w:val="24"/>
          <w:szCs w:val="24"/>
          <w:u w:val="single"/>
        </w:rPr>
        <w:t>JUROS</w:t>
      </w:r>
      <w:r w:rsidR="00E77B7E">
        <w:rPr>
          <w:rFonts w:ascii="Arial" w:hAnsi="Arial" w:cs="Arial"/>
          <w:sz w:val="24"/>
          <w:szCs w:val="24"/>
          <w:u w:val="single"/>
        </w:rPr>
        <w:t>:</w:t>
      </w:r>
      <w:r w:rsidRPr="00B82233">
        <w:rPr>
          <w:rFonts w:ascii="Arial" w:hAnsi="Arial" w:cs="Arial"/>
          <w:sz w:val="24"/>
          <w:szCs w:val="24"/>
        </w:rPr>
        <w:t xml:space="preserve"> </w:t>
      </w:r>
      <w:r w:rsidR="00340946" w:rsidRPr="00B82233">
        <w:rPr>
          <w:rFonts w:ascii="Arial" w:hAnsi="Arial" w:cs="Arial"/>
          <w:sz w:val="24"/>
          <w:szCs w:val="24"/>
        </w:rPr>
        <w:t>Os juros serão devidos à</w:t>
      </w:r>
      <w:r w:rsidR="00340946" w:rsidRPr="00797A8C">
        <w:rPr>
          <w:rFonts w:ascii="Arial" w:hAnsi="Arial" w:cs="Arial"/>
          <w:color w:val="000000"/>
          <w:sz w:val="24"/>
          <w:szCs w:val="24"/>
        </w:rPr>
        <w:t xml:space="preserve">s seguintes taxas, observada a </w:t>
      </w:r>
      <w:r w:rsidR="00340946" w:rsidRPr="00797A8C">
        <w:rPr>
          <w:rFonts w:ascii="Arial" w:hAnsi="Arial" w:cs="Arial"/>
          <w:color w:val="000000"/>
          <w:sz w:val="24"/>
          <w:szCs w:val="24"/>
        </w:rPr>
        <w:tab/>
        <w:t>sistemática estabelecida nas condições adiante:</w:t>
      </w:r>
    </w:p>
    <w:p w14:paraId="19FE95AD" w14:textId="48B8E0D9" w:rsidR="00BC6130" w:rsidRPr="00B82233" w:rsidRDefault="00BC6130" w:rsidP="00BC6130">
      <w:pPr>
        <w:spacing w:before="120" w:after="120"/>
        <w:jc w:val="both"/>
        <w:rPr>
          <w:rFonts w:ascii="Arial" w:hAnsi="Arial" w:cs="Arial"/>
          <w:sz w:val="24"/>
          <w:szCs w:val="24"/>
        </w:rPr>
      </w:pPr>
      <w:r w:rsidRPr="00797A8C">
        <w:rPr>
          <w:rFonts w:ascii="Arial" w:hAnsi="Arial" w:cs="Arial"/>
          <w:b/>
          <w:bCs/>
          <w:color w:val="000000"/>
          <w:sz w:val="24"/>
          <w:szCs w:val="24"/>
        </w:rPr>
        <w:t>A Sobretaxa Fixa para o custo referenciado à taxa de juros Selic deverá ser obtida no portal oficial do BNDES na Internet</w:t>
      </w:r>
      <w:r w:rsidR="004B32A2">
        <w:rPr>
          <w:rFonts w:ascii="Arial" w:hAnsi="Arial" w:cs="Arial"/>
          <w:b/>
          <w:bCs/>
          <w:color w:val="000000"/>
          <w:sz w:val="24"/>
          <w:szCs w:val="24"/>
        </w:rPr>
        <w:t xml:space="preserve"> (</w:t>
      </w:r>
      <w:hyperlink r:id="rId17" w:history="1">
        <w:r w:rsidRPr="00797A8C">
          <w:rPr>
            <w:rFonts w:ascii="Arial" w:hAnsi="Arial" w:cs="Arial"/>
            <w:b/>
            <w:bCs/>
            <w:color w:val="000000"/>
            <w:sz w:val="24"/>
            <w:szCs w:val="24"/>
          </w:rPr>
          <w:t>http://www.bndes.gov.br/SiteBNDES/bndes/bndes_pt/Ferramentas_e_Normas/Moedas_Contratuais</w:t>
        </w:r>
      </w:hyperlink>
      <w:r w:rsidR="004B32A2">
        <w:rPr>
          <w:rFonts w:ascii="Arial" w:hAnsi="Arial" w:cs="Arial"/>
          <w:b/>
          <w:bCs/>
          <w:color w:val="000000"/>
          <w:sz w:val="24"/>
          <w:szCs w:val="24"/>
        </w:rPr>
        <w:t>)</w:t>
      </w:r>
      <w:r w:rsidRPr="00797A8C">
        <w:rPr>
          <w:rFonts w:ascii="Arial" w:hAnsi="Arial" w:cs="Arial"/>
          <w:b/>
          <w:bCs/>
          <w:color w:val="000000"/>
          <w:sz w:val="24"/>
          <w:szCs w:val="24"/>
        </w:rPr>
        <w:t>, através de consulta pelo código 024</w:t>
      </w:r>
      <w:r w:rsidRPr="00797A8C">
        <w:rPr>
          <w:rFonts w:ascii="Arial" w:hAnsi="Arial" w:cs="Arial"/>
          <w:bCs/>
          <w:color w:val="000000"/>
          <w:sz w:val="24"/>
          <w:szCs w:val="24"/>
        </w:rPr>
        <w:t>):</w:t>
      </w:r>
    </w:p>
    <w:p w14:paraId="51FAFA96" w14:textId="77777777" w:rsidR="00340946" w:rsidRPr="00797A8C" w:rsidRDefault="00340946" w:rsidP="00BC6130">
      <w:pPr>
        <w:spacing w:before="120" w:after="120"/>
        <w:jc w:val="both"/>
        <w:rPr>
          <w:rFonts w:ascii="Arial" w:hAnsi="Arial" w:cs="Arial"/>
          <w:color w:val="000000"/>
          <w:sz w:val="24"/>
          <w:szCs w:val="24"/>
        </w:rPr>
      </w:pPr>
    </w:p>
    <w:p w14:paraId="2023EAA5" w14:textId="4F0881BE" w:rsidR="00340946" w:rsidRPr="00050EC3" w:rsidRDefault="00340946" w:rsidP="00340946">
      <w:pPr>
        <w:ind w:left="2833" w:hanging="2549"/>
        <w:jc w:val="both"/>
        <w:rPr>
          <w:rFonts w:ascii="Arial" w:hAnsi="Arial" w:cs="Arial"/>
          <w:sz w:val="24"/>
          <w:szCs w:val="24"/>
        </w:rPr>
      </w:pPr>
      <w:r w:rsidRPr="00797A8C">
        <w:rPr>
          <w:rFonts w:ascii="Arial" w:hAnsi="Arial" w:cs="Arial"/>
          <w:color w:val="000000"/>
          <w:sz w:val="24"/>
          <w:szCs w:val="24"/>
        </w:rPr>
        <w:t xml:space="preserve">I - </w:t>
      </w:r>
      <w:r w:rsidRPr="00797A8C">
        <w:rPr>
          <w:rFonts w:ascii="Arial" w:hAnsi="Arial" w:cs="Arial"/>
          <w:sz w:val="24"/>
          <w:szCs w:val="24"/>
          <w:u w:val="single"/>
        </w:rPr>
        <w:t xml:space="preserve">a serem cobrados à INSTITUIÇÃO FINANCEIRA CREDENCIADA pelo </w:t>
      </w:r>
      <w:r w:rsidR="00C55544">
        <w:rPr>
          <w:rFonts w:ascii="Arial" w:hAnsi="Arial" w:cs="Arial"/>
          <w:sz w:val="24"/>
          <w:szCs w:val="24"/>
          <w:u w:val="single"/>
        </w:rPr>
        <w:t xml:space="preserve">Sistema </w:t>
      </w:r>
      <w:r w:rsidRPr="00797A8C">
        <w:rPr>
          <w:rFonts w:ascii="Arial" w:hAnsi="Arial" w:cs="Arial"/>
          <w:sz w:val="24"/>
          <w:szCs w:val="24"/>
          <w:u w:val="single"/>
        </w:rPr>
        <w:t>BNDES</w:t>
      </w:r>
      <w:r w:rsidRPr="00050EC3">
        <w:rPr>
          <w:rFonts w:ascii="Arial" w:hAnsi="Arial" w:cs="Arial"/>
          <w:sz w:val="24"/>
          <w:szCs w:val="24"/>
        </w:rPr>
        <w:t>:</w:t>
      </w:r>
    </w:p>
    <w:p w14:paraId="246C2C8D" w14:textId="77777777" w:rsidR="00340946" w:rsidRPr="007A4415" w:rsidRDefault="00340946" w:rsidP="00BC6130">
      <w:pPr>
        <w:spacing w:before="120" w:after="120"/>
        <w:jc w:val="both"/>
        <w:rPr>
          <w:rFonts w:ascii="Arial" w:hAnsi="Arial" w:cs="Arial"/>
          <w:color w:val="000000"/>
          <w:sz w:val="24"/>
          <w:szCs w:val="24"/>
        </w:rPr>
      </w:pPr>
    </w:p>
    <w:p w14:paraId="3E23E389" w14:textId="171D1D14" w:rsidR="00BC6130" w:rsidRPr="00295C28" w:rsidRDefault="00BC6130" w:rsidP="00BC6130">
      <w:pPr>
        <w:ind w:left="2833" w:hanging="1753"/>
        <w:jc w:val="both"/>
        <w:rPr>
          <w:rFonts w:ascii="Arial" w:hAnsi="Arial" w:cs="Arial"/>
          <w:color w:val="000000"/>
          <w:sz w:val="24"/>
          <w:szCs w:val="24"/>
        </w:rPr>
      </w:pPr>
      <w:r w:rsidRPr="007A4415">
        <w:rPr>
          <w:rFonts w:ascii="Arial" w:hAnsi="Arial" w:cs="Arial"/>
          <w:color w:val="000000"/>
          <w:sz w:val="24"/>
          <w:szCs w:val="24"/>
        </w:rPr>
        <w:t xml:space="preserve">....... % (............ por cento) </w:t>
      </w:r>
      <w:r w:rsidRPr="007A4415">
        <w:rPr>
          <w:rFonts w:ascii="Arial" w:hAnsi="Arial" w:cs="Arial"/>
          <w:bCs/>
          <w:iCs/>
          <w:color w:val="000000"/>
          <w:sz w:val="24"/>
          <w:szCs w:val="24"/>
        </w:rPr>
        <w:t>[A taxa de juros corresponderá a .....% (soma da remuneração básica + taxa de intermediação</w:t>
      </w:r>
      <w:r w:rsidRPr="00F01F75">
        <w:rPr>
          <w:rFonts w:ascii="Arial" w:hAnsi="Arial" w:cs="Arial"/>
          <w:bCs/>
          <w:iCs/>
          <w:color w:val="000000"/>
          <w:sz w:val="24"/>
          <w:szCs w:val="24"/>
        </w:rPr>
        <w:t>, acrescida da Sobretaxa Fixa a ser divulgada pelo Sistema BNDES, vigente na data da contratação]</w:t>
      </w:r>
      <w:r w:rsidRPr="00F01F75">
        <w:rPr>
          <w:rFonts w:ascii="Arial" w:hAnsi="Arial" w:cs="Arial"/>
          <w:color w:val="000000"/>
          <w:sz w:val="24"/>
          <w:szCs w:val="24"/>
        </w:rPr>
        <w:t xml:space="preserve"> ao ano (a título de remuneração), base 252 (duzentos e cinquenta e dois) dias úteis, acima da variação acumulada das taxas médias diárias dos financiamentos apurados no Sistema Especial de Liquidação e de Custódia (Taxas SELIC), divulgadas pelo Banco Central do Brasil, e </w:t>
      </w:r>
    </w:p>
    <w:p w14:paraId="7674A6FA" w14:textId="77777777" w:rsidR="00340946" w:rsidRPr="00295C28" w:rsidRDefault="00340946" w:rsidP="00340946">
      <w:pPr>
        <w:ind w:left="426" w:hanging="142"/>
        <w:jc w:val="both"/>
        <w:rPr>
          <w:rFonts w:ascii="Arial" w:hAnsi="Arial" w:cs="Arial"/>
          <w:color w:val="000000"/>
          <w:sz w:val="24"/>
          <w:szCs w:val="24"/>
        </w:rPr>
      </w:pPr>
    </w:p>
    <w:p w14:paraId="73253BD1" w14:textId="3AB7C89D" w:rsidR="00340946" w:rsidRPr="00B82233" w:rsidRDefault="00340946" w:rsidP="00340946">
      <w:pPr>
        <w:ind w:left="426" w:hanging="142"/>
        <w:jc w:val="both"/>
        <w:rPr>
          <w:rFonts w:ascii="Arial" w:hAnsi="Arial" w:cs="Arial"/>
          <w:color w:val="000000"/>
          <w:sz w:val="24"/>
          <w:szCs w:val="24"/>
        </w:rPr>
      </w:pPr>
      <w:r w:rsidRPr="00295C28">
        <w:rPr>
          <w:rFonts w:ascii="Arial" w:hAnsi="Arial" w:cs="Arial"/>
          <w:color w:val="000000"/>
          <w:sz w:val="24"/>
          <w:szCs w:val="24"/>
        </w:rPr>
        <w:t>II -</w:t>
      </w:r>
      <w:r w:rsidRPr="00295C28">
        <w:rPr>
          <w:rFonts w:ascii="Arial" w:hAnsi="Arial" w:cs="Arial"/>
          <w:color w:val="000000"/>
          <w:sz w:val="24"/>
          <w:szCs w:val="24"/>
        </w:rPr>
        <w:tab/>
        <w:t xml:space="preserve">a serem cobrados </w:t>
      </w:r>
      <w:r w:rsidR="00DC7CD5">
        <w:rPr>
          <w:rFonts w:ascii="Arial" w:hAnsi="Arial" w:cs="Arial"/>
          <w:color w:val="000000"/>
          <w:sz w:val="24"/>
          <w:szCs w:val="24"/>
        </w:rPr>
        <w:t>d</w:t>
      </w:r>
      <w:r w:rsidR="0080070D">
        <w:rPr>
          <w:rFonts w:ascii="Arial" w:hAnsi="Arial" w:cs="Arial"/>
          <w:color w:val="000000"/>
          <w:sz w:val="24"/>
          <w:szCs w:val="24"/>
        </w:rPr>
        <w:t>o</w:t>
      </w:r>
      <w:r w:rsidRPr="00295C28">
        <w:rPr>
          <w:rFonts w:ascii="Arial" w:hAnsi="Arial" w:cs="Arial"/>
          <w:color w:val="000000"/>
          <w:sz w:val="24"/>
          <w:szCs w:val="24"/>
        </w:rPr>
        <w:t xml:space="preserve"> </w:t>
      </w:r>
      <w:r w:rsidR="004C5446">
        <w:rPr>
          <w:rFonts w:ascii="Arial" w:hAnsi="Arial" w:cs="Arial"/>
          <w:color w:val="000000"/>
          <w:sz w:val="24"/>
          <w:szCs w:val="24"/>
        </w:rPr>
        <w:t>CLIENTE</w:t>
      </w:r>
      <w:r w:rsidRPr="00295C28">
        <w:rPr>
          <w:rFonts w:ascii="Arial" w:hAnsi="Arial" w:cs="Arial"/>
          <w:color w:val="000000"/>
          <w:sz w:val="24"/>
          <w:szCs w:val="24"/>
        </w:rPr>
        <w:t xml:space="preserve"> pela INSTITUIÇÃO FINANCEIRA CREDENCIADA:</w:t>
      </w:r>
    </w:p>
    <w:p w14:paraId="01DCE4FA" w14:textId="77777777" w:rsidR="00BC6130" w:rsidRPr="00797A8C" w:rsidRDefault="00BC6130" w:rsidP="00BC6130">
      <w:pPr>
        <w:ind w:left="2833" w:hanging="1753"/>
        <w:jc w:val="both"/>
        <w:rPr>
          <w:rFonts w:ascii="Arial" w:hAnsi="Arial" w:cs="Arial"/>
          <w:color w:val="000000"/>
          <w:sz w:val="24"/>
          <w:szCs w:val="24"/>
        </w:rPr>
      </w:pPr>
    </w:p>
    <w:p w14:paraId="40C74F4A" w14:textId="24EAB286" w:rsidR="00340946" w:rsidRPr="007A4415" w:rsidRDefault="00340946" w:rsidP="00843541">
      <w:pPr>
        <w:pStyle w:val="numeroON"/>
        <w:spacing w:before="0" w:after="0"/>
        <w:ind w:left="2835" w:hanging="1559"/>
        <w:jc w:val="both"/>
        <w:rPr>
          <w:rFonts w:cs="Arial"/>
          <w:b w:val="0"/>
          <w:iCs/>
          <w:caps w:val="0"/>
          <w:color w:val="000000"/>
          <w:szCs w:val="24"/>
        </w:rPr>
      </w:pPr>
      <w:r w:rsidRPr="00797A8C">
        <w:rPr>
          <w:rFonts w:cs="Arial"/>
          <w:b w:val="0"/>
          <w:iCs/>
          <w:caps w:val="0"/>
          <w:color w:val="000000"/>
          <w:szCs w:val="24"/>
        </w:rPr>
        <w:t xml:space="preserve">....... % (............ por cento) ao ano </w:t>
      </w:r>
      <w:r w:rsidRPr="00797A8C">
        <w:rPr>
          <w:rFonts w:cs="Arial"/>
          <w:iCs/>
          <w:caps w:val="0"/>
          <w:color w:val="000000"/>
          <w:szCs w:val="24"/>
        </w:rPr>
        <w:t xml:space="preserve">[A taxa de juros corresponderá a .....% (soma da remuneração básica + taxa de </w:t>
      </w:r>
      <w:r w:rsidRPr="00050EC3">
        <w:rPr>
          <w:rFonts w:cs="Arial"/>
          <w:iCs/>
          <w:caps w:val="0"/>
          <w:color w:val="000000"/>
          <w:szCs w:val="24"/>
        </w:rPr>
        <w:t>intermediação financeira + remuneração da instituição financeira credenciada), acrescida da  Sobretaxa Fixa a ser divulgada pelo BNDES, vigente na dat</w:t>
      </w:r>
      <w:r w:rsidRPr="007A4415">
        <w:rPr>
          <w:rFonts w:cs="Arial"/>
          <w:iCs/>
          <w:caps w:val="0"/>
          <w:color w:val="000000"/>
          <w:szCs w:val="24"/>
        </w:rPr>
        <w:t>a da contratação]</w:t>
      </w:r>
      <w:r w:rsidRPr="007A4415">
        <w:rPr>
          <w:rFonts w:cs="Arial"/>
          <w:b w:val="0"/>
          <w:iCs/>
          <w:caps w:val="0"/>
          <w:color w:val="000000"/>
          <w:szCs w:val="24"/>
        </w:rPr>
        <w:t xml:space="preserve"> (a título de remuneração), base 252 (duzentos e cinquenta e dois) dias úteis, acima da variação acumulada das taxas médias diárias dos financiamentos apurados no Sistema Especial de Liquidação e de Custódia – SELIC (Taxas SELIC), divulgadas pelo Banco Central do Brasil, de acordo com a fórmula a seguir:</w:t>
      </w:r>
    </w:p>
    <w:p w14:paraId="36230EFC" w14:textId="77777777" w:rsidR="00340946" w:rsidRPr="007A4415" w:rsidRDefault="00340946" w:rsidP="00BC6130">
      <w:pPr>
        <w:ind w:left="2833" w:hanging="1753"/>
        <w:jc w:val="both"/>
        <w:rPr>
          <w:rFonts w:ascii="Arial" w:hAnsi="Arial" w:cs="Arial"/>
          <w:color w:val="000000"/>
          <w:sz w:val="24"/>
          <w:szCs w:val="24"/>
        </w:rPr>
      </w:pPr>
    </w:p>
    <w:p w14:paraId="7A02B5B5" w14:textId="77777777" w:rsidR="00340946" w:rsidRPr="00F01F75" w:rsidRDefault="00340946" w:rsidP="00BC6130">
      <w:pPr>
        <w:ind w:left="2833" w:hanging="1753"/>
        <w:jc w:val="both"/>
        <w:rPr>
          <w:rFonts w:ascii="Arial" w:hAnsi="Arial" w:cs="Arial"/>
          <w:color w:val="000000"/>
          <w:sz w:val="24"/>
          <w:szCs w:val="24"/>
        </w:rPr>
      </w:pPr>
    </w:p>
    <w:p w14:paraId="1248F502" w14:textId="77777777" w:rsidR="00BC6130" w:rsidRPr="00F01F75" w:rsidRDefault="00BC6130" w:rsidP="00BC6130">
      <w:pPr>
        <w:jc w:val="both"/>
        <w:rPr>
          <w:rFonts w:ascii="Arial" w:hAnsi="Arial" w:cs="Arial"/>
          <w:i/>
          <w:color w:val="000000"/>
          <w:sz w:val="24"/>
          <w:szCs w:val="24"/>
        </w:rPr>
      </w:pPr>
      <w:r w:rsidRPr="00F01F75">
        <w:rPr>
          <w:rFonts w:ascii="Arial" w:hAnsi="Arial" w:cs="Arial"/>
          <w:color w:val="000000"/>
          <w:sz w:val="24"/>
          <w:szCs w:val="24"/>
        </w:rPr>
        <w:lastRenderedPageBreak/>
        <w:t xml:space="preserve">                                       </w:t>
      </w:r>
      <w:r w:rsidRPr="00F01F75">
        <w:rPr>
          <w:rFonts w:ascii="Arial" w:hAnsi="Arial" w:cs="Arial"/>
          <w:i/>
          <w:color w:val="000000"/>
          <w:sz w:val="24"/>
          <w:szCs w:val="24"/>
        </w:rPr>
        <w:t>J= Sp x [(FatorJuros x FatorSelic)-1]</w:t>
      </w:r>
    </w:p>
    <w:p w14:paraId="13EC0B53" w14:textId="77777777" w:rsidR="00BC6130" w:rsidRPr="00F01F75" w:rsidRDefault="00BC6130" w:rsidP="00BC6130">
      <w:pPr>
        <w:ind w:left="1058"/>
        <w:jc w:val="both"/>
        <w:rPr>
          <w:rFonts w:ascii="Arial" w:hAnsi="Arial" w:cs="Arial"/>
          <w:b/>
          <w:color w:val="000000"/>
          <w:sz w:val="24"/>
          <w:szCs w:val="24"/>
        </w:rPr>
      </w:pPr>
      <w:r w:rsidRPr="00F01F75">
        <w:rPr>
          <w:rFonts w:ascii="Arial" w:hAnsi="Arial" w:cs="Arial"/>
          <w:iCs/>
          <w:color w:val="000000"/>
          <w:sz w:val="24"/>
          <w:szCs w:val="24"/>
        </w:rPr>
        <w:t>Em que:</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6"/>
        <w:gridCol w:w="6555"/>
      </w:tblGrid>
      <w:tr w:rsidR="00BC6130" w:rsidRPr="00797A8C" w14:paraId="6C52F736" w14:textId="77777777" w:rsidTr="00003AC6">
        <w:tc>
          <w:tcPr>
            <w:tcW w:w="1364" w:type="dxa"/>
            <w:shd w:val="clear" w:color="auto" w:fill="auto"/>
          </w:tcPr>
          <w:p w14:paraId="617B1F1B" w14:textId="77777777" w:rsidR="00BC6130" w:rsidRPr="00797A8C" w:rsidRDefault="00BC6130" w:rsidP="00003AC6">
            <w:pPr>
              <w:jc w:val="both"/>
              <w:rPr>
                <w:rFonts w:ascii="Arial" w:hAnsi="Arial" w:cs="Arial"/>
                <w:b/>
                <w:i/>
                <w:iCs/>
                <w:color w:val="000000"/>
                <w:sz w:val="24"/>
                <w:szCs w:val="24"/>
              </w:rPr>
            </w:pPr>
            <w:r w:rsidRPr="00797A8C">
              <w:rPr>
                <w:rFonts w:ascii="Arial" w:hAnsi="Arial" w:cs="Arial"/>
                <w:b/>
                <w:i/>
                <w:iCs/>
                <w:color w:val="000000"/>
                <w:sz w:val="24"/>
                <w:szCs w:val="24"/>
              </w:rPr>
              <w:t>J</w:t>
            </w:r>
          </w:p>
        </w:tc>
        <w:tc>
          <w:tcPr>
            <w:tcW w:w="466" w:type="dxa"/>
            <w:shd w:val="clear" w:color="auto" w:fill="auto"/>
          </w:tcPr>
          <w:p w14:paraId="4B65323D" w14:textId="77777777" w:rsidR="00BC6130" w:rsidRPr="00050EC3" w:rsidRDefault="00BC6130" w:rsidP="00003AC6">
            <w:pPr>
              <w:jc w:val="both"/>
              <w:rPr>
                <w:rFonts w:ascii="Arial" w:hAnsi="Arial" w:cs="Arial"/>
                <w:b/>
                <w:color w:val="000000"/>
                <w:sz w:val="24"/>
                <w:szCs w:val="24"/>
              </w:rPr>
            </w:pPr>
            <w:r w:rsidRPr="00050EC3">
              <w:rPr>
                <w:rFonts w:ascii="Arial" w:hAnsi="Arial" w:cs="Arial"/>
                <w:b/>
                <w:color w:val="000000"/>
                <w:sz w:val="24"/>
                <w:szCs w:val="24"/>
              </w:rPr>
              <w:t>=</w:t>
            </w:r>
          </w:p>
        </w:tc>
        <w:tc>
          <w:tcPr>
            <w:tcW w:w="6555" w:type="dxa"/>
            <w:shd w:val="clear" w:color="auto" w:fill="auto"/>
          </w:tcPr>
          <w:p w14:paraId="0445296D" w14:textId="77777777" w:rsidR="00BC6130" w:rsidRPr="007A4415" w:rsidRDefault="00BC6130" w:rsidP="00003AC6">
            <w:pPr>
              <w:jc w:val="both"/>
              <w:rPr>
                <w:rFonts w:ascii="Arial" w:hAnsi="Arial" w:cs="Arial"/>
                <w:b/>
                <w:color w:val="000000"/>
                <w:sz w:val="24"/>
                <w:szCs w:val="24"/>
              </w:rPr>
            </w:pPr>
            <w:r w:rsidRPr="007A4415">
              <w:rPr>
                <w:rFonts w:ascii="Arial" w:hAnsi="Arial" w:cs="Arial"/>
                <w:b/>
                <w:color w:val="000000"/>
                <w:sz w:val="24"/>
                <w:szCs w:val="24"/>
              </w:rPr>
              <w:t>valor dos juros ao final de cada Período de Juros, exigíveis conforme o disposto abaixo;</w:t>
            </w:r>
          </w:p>
        </w:tc>
      </w:tr>
      <w:tr w:rsidR="00BC6130" w:rsidRPr="00797A8C" w14:paraId="2A58F43B" w14:textId="77777777" w:rsidTr="00003AC6">
        <w:tc>
          <w:tcPr>
            <w:tcW w:w="1364" w:type="dxa"/>
            <w:shd w:val="clear" w:color="auto" w:fill="auto"/>
          </w:tcPr>
          <w:p w14:paraId="45E2D0CC" w14:textId="77777777" w:rsidR="00BC6130" w:rsidRPr="00797A8C" w:rsidRDefault="00BC6130" w:rsidP="00003AC6">
            <w:pPr>
              <w:jc w:val="both"/>
              <w:rPr>
                <w:rFonts w:ascii="Arial" w:hAnsi="Arial" w:cs="Arial"/>
                <w:b/>
                <w:i/>
                <w:iCs/>
                <w:color w:val="000000"/>
                <w:sz w:val="24"/>
                <w:szCs w:val="24"/>
              </w:rPr>
            </w:pPr>
            <w:r w:rsidRPr="00797A8C">
              <w:rPr>
                <w:rFonts w:ascii="Arial" w:hAnsi="Arial" w:cs="Arial"/>
                <w:b/>
                <w:i/>
                <w:iCs/>
                <w:color w:val="000000"/>
                <w:sz w:val="24"/>
                <w:szCs w:val="24"/>
              </w:rPr>
              <w:t>Sp</w:t>
            </w:r>
          </w:p>
        </w:tc>
        <w:tc>
          <w:tcPr>
            <w:tcW w:w="466" w:type="dxa"/>
            <w:shd w:val="clear" w:color="auto" w:fill="auto"/>
          </w:tcPr>
          <w:p w14:paraId="2970F774" w14:textId="77777777" w:rsidR="00BC6130" w:rsidRPr="00050EC3" w:rsidRDefault="00BC6130" w:rsidP="00003AC6">
            <w:pPr>
              <w:jc w:val="both"/>
              <w:rPr>
                <w:rFonts w:ascii="Arial" w:hAnsi="Arial" w:cs="Arial"/>
                <w:b/>
                <w:color w:val="000000"/>
                <w:sz w:val="24"/>
                <w:szCs w:val="24"/>
              </w:rPr>
            </w:pPr>
            <w:r w:rsidRPr="00050EC3">
              <w:rPr>
                <w:rFonts w:ascii="Arial" w:hAnsi="Arial" w:cs="Arial"/>
                <w:b/>
                <w:color w:val="000000"/>
                <w:sz w:val="24"/>
                <w:szCs w:val="24"/>
              </w:rPr>
              <w:t>=</w:t>
            </w:r>
          </w:p>
        </w:tc>
        <w:tc>
          <w:tcPr>
            <w:tcW w:w="6555" w:type="dxa"/>
            <w:shd w:val="clear" w:color="auto" w:fill="auto"/>
          </w:tcPr>
          <w:p w14:paraId="6DD1F2B5" w14:textId="77777777" w:rsidR="00BC6130" w:rsidRPr="007A4415" w:rsidRDefault="00BC6130" w:rsidP="00003AC6">
            <w:pPr>
              <w:jc w:val="both"/>
              <w:rPr>
                <w:rFonts w:ascii="Arial" w:hAnsi="Arial" w:cs="Arial"/>
                <w:b/>
                <w:color w:val="000000"/>
                <w:sz w:val="24"/>
                <w:szCs w:val="24"/>
              </w:rPr>
            </w:pPr>
            <w:r w:rsidRPr="007A4415">
              <w:rPr>
                <w:rFonts w:ascii="Arial" w:hAnsi="Arial" w:cs="Arial"/>
                <w:b/>
                <w:color w:val="000000"/>
                <w:sz w:val="24"/>
                <w:szCs w:val="24"/>
              </w:rPr>
              <w:t>Saldo devedor de principal calculado com 2 (duas) casas decimais, sem arredondamento;</w:t>
            </w:r>
          </w:p>
        </w:tc>
      </w:tr>
      <w:tr w:rsidR="00BC6130" w:rsidRPr="00797A8C" w14:paraId="383F59EA" w14:textId="77777777" w:rsidTr="00003AC6">
        <w:tc>
          <w:tcPr>
            <w:tcW w:w="1364" w:type="dxa"/>
            <w:shd w:val="clear" w:color="auto" w:fill="auto"/>
          </w:tcPr>
          <w:p w14:paraId="319E3342" w14:textId="77777777" w:rsidR="00BC6130" w:rsidRPr="00797A8C" w:rsidRDefault="00BC6130" w:rsidP="00003AC6">
            <w:pPr>
              <w:jc w:val="both"/>
              <w:rPr>
                <w:rFonts w:ascii="Arial" w:hAnsi="Arial" w:cs="Arial"/>
                <w:b/>
                <w:color w:val="000000"/>
                <w:sz w:val="24"/>
                <w:szCs w:val="24"/>
              </w:rPr>
            </w:pPr>
            <w:r w:rsidRPr="00797A8C">
              <w:rPr>
                <w:rFonts w:ascii="Arial" w:hAnsi="Arial" w:cs="Arial"/>
                <w:b/>
                <w:i/>
                <w:color w:val="000000"/>
                <w:sz w:val="24"/>
                <w:szCs w:val="24"/>
              </w:rPr>
              <w:t>FatorJuros</w:t>
            </w:r>
          </w:p>
        </w:tc>
        <w:tc>
          <w:tcPr>
            <w:tcW w:w="466" w:type="dxa"/>
            <w:shd w:val="clear" w:color="auto" w:fill="auto"/>
          </w:tcPr>
          <w:p w14:paraId="1D212AD1" w14:textId="77777777" w:rsidR="00BC6130" w:rsidRPr="00050EC3" w:rsidRDefault="00BC6130" w:rsidP="00003AC6">
            <w:pPr>
              <w:jc w:val="both"/>
              <w:rPr>
                <w:rFonts w:ascii="Arial" w:hAnsi="Arial" w:cs="Arial"/>
                <w:b/>
                <w:color w:val="000000"/>
                <w:sz w:val="24"/>
                <w:szCs w:val="24"/>
              </w:rPr>
            </w:pPr>
            <w:r w:rsidRPr="00050EC3">
              <w:rPr>
                <w:rFonts w:ascii="Arial" w:hAnsi="Arial" w:cs="Arial"/>
                <w:b/>
                <w:i/>
                <w:color w:val="000000"/>
                <w:sz w:val="24"/>
                <w:szCs w:val="24"/>
              </w:rPr>
              <w:t>=</w:t>
            </w:r>
          </w:p>
        </w:tc>
        <w:tc>
          <w:tcPr>
            <w:tcW w:w="6555" w:type="dxa"/>
            <w:shd w:val="clear" w:color="auto" w:fill="auto"/>
          </w:tcPr>
          <w:p w14:paraId="1C74647A" w14:textId="77777777" w:rsidR="00BC6130" w:rsidRPr="007A4415" w:rsidRDefault="00BC6130" w:rsidP="00003AC6">
            <w:pPr>
              <w:jc w:val="both"/>
              <w:rPr>
                <w:rFonts w:ascii="Arial" w:hAnsi="Arial" w:cs="Arial"/>
                <w:b/>
                <w:color w:val="000000"/>
                <w:sz w:val="24"/>
                <w:szCs w:val="24"/>
              </w:rPr>
            </w:pPr>
            <w:r w:rsidRPr="007A4415">
              <w:rPr>
                <w:rFonts w:ascii="Arial" w:hAnsi="Arial" w:cs="Arial"/>
                <w:b/>
                <w:color w:val="000000"/>
                <w:sz w:val="24"/>
                <w:szCs w:val="24"/>
              </w:rPr>
              <w:t>fator da parcela de juros fixos apurado da seguinte forma:</w:t>
            </w:r>
          </w:p>
        </w:tc>
      </w:tr>
    </w:tbl>
    <w:p w14:paraId="71692552" w14:textId="77777777" w:rsidR="00BC6130" w:rsidRPr="00797A8C" w:rsidRDefault="00BC6130" w:rsidP="00BC6130">
      <w:pPr>
        <w:ind w:left="1985" w:hanging="1276"/>
        <w:jc w:val="both"/>
        <w:rPr>
          <w:rFonts w:ascii="Arial" w:hAnsi="Arial" w:cs="Arial"/>
          <w:b/>
          <w:i/>
          <w:color w:val="000000"/>
          <w:sz w:val="24"/>
          <w:szCs w:val="24"/>
        </w:rPr>
      </w:pPr>
    </w:p>
    <w:p w14:paraId="69C9A748" w14:textId="450ED895" w:rsidR="00BC6130" w:rsidRPr="00797A8C" w:rsidRDefault="008E3FBF" w:rsidP="00BC6130">
      <w:pPr>
        <w:ind w:left="1985" w:hanging="1276"/>
        <w:jc w:val="center"/>
        <w:rPr>
          <w:rFonts w:ascii="Arial" w:hAnsi="Arial" w:cs="Arial"/>
          <w:b/>
          <w:i/>
          <w:color w:val="000000"/>
          <w:sz w:val="24"/>
          <w:szCs w:val="24"/>
        </w:rPr>
      </w:pPr>
      <w:r w:rsidRPr="00797A8C">
        <w:rPr>
          <w:rFonts w:ascii="Arial" w:hAnsi="Arial" w:cs="Arial"/>
          <w:b/>
          <w:i/>
          <w:noProof/>
          <w:color w:val="000000"/>
          <w:position w:val="-44"/>
          <w:sz w:val="24"/>
          <w:szCs w:val="24"/>
        </w:rPr>
        <w:drawing>
          <wp:inline distT="0" distB="0" distL="0" distR="0" wp14:anchorId="67AD55B8" wp14:editId="26C09487">
            <wp:extent cx="2023745" cy="584200"/>
            <wp:effectExtent l="0" t="0" r="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3745" cy="584200"/>
                    </a:xfrm>
                    <a:prstGeom prst="rect">
                      <a:avLst/>
                    </a:prstGeom>
                    <a:noFill/>
                    <a:ln>
                      <a:noFill/>
                    </a:ln>
                  </pic:spPr>
                </pic:pic>
              </a:graphicData>
            </a:graphic>
          </wp:inline>
        </w:drawing>
      </w:r>
    </w:p>
    <w:p w14:paraId="782375F4" w14:textId="77777777" w:rsidR="00BC6130" w:rsidRPr="00797A8C" w:rsidRDefault="00BC6130" w:rsidP="00BC6130">
      <w:pPr>
        <w:ind w:left="1058"/>
        <w:jc w:val="both"/>
        <w:rPr>
          <w:rFonts w:ascii="Arial" w:hAnsi="Arial" w:cs="Arial"/>
          <w:b/>
          <w:i/>
          <w:color w:val="000000"/>
          <w:sz w:val="24"/>
          <w:szCs w:val="24"/>
        </w:rPr>
      </w:pPr>
      <w:r w:rsidRPr="00797A8C">
        <w:rPr>
          <w:rFonts w:ascii="Arial" w:hAnsi="Arial" w:cs="Arial"/>
          <w:iCs/>
          <w:color w:val="000000"/>
          <w:sz w:val="24"/>
          <w:szCs w:val="24"/>
        </w:rPr>
        <w:t>Em que:</w:t>
      </w:r>
    </w:p>
    <w:tbl>
      <w:tblPr>
        <w:tblW w:w="84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57"/>
        <w:gridCol w:w="6625"/>
      </w:tblGrid>
      <w:tr w:rsidR="00BC6130" w:rsidRPr="00797A8C" w14:paraId="0492B18B" w14:textId="77777777" w:rsidTr="00003AC6">
        <w:tc>
          <w:tcPr>
            <w:tcW w:w="1418" w:type="dxa"/>
            <w:shd w:val="clear" w:color="auto" w:fill="auto"/>
          </w:tcPr>
          <w:p w14:paraId="03711B10" w14:textId="77777777" w:rsidR="00BC6130" w:rsidRPr="00050EC3" w:rsidRDefault="00BC6130" w:rsidP="00003AC6">
            <w:pPr>
              <w:jc w:val="both"/>
              <w:rPr>
                <w:rFonts w:ascii="Arial" w:hAnsi="Arial" w:cs="Arial"/>
                <w:b/>
                <w:i/>
                <w:iCs/>
                <w:strike/>
                <w:color w:val="000000"/>
                <w:sz w:val="24"/>
                <w:szCs w:val="24"/>
              </w:rPr>
            </w:pPr>
            <w:r w:rsidRPr="00050EC3">
              <w:rPr>
                <w:rFonts w:ascii="Arial" w:hAnsi="Arial" w:cs="Arial"/>
                <w:b/>
                <w:i/>
                <w:iCs/>
                <w:color w:val="000000"/>
                <w:sz w:val="24"/>
                <w:szCs w:val="24"/>
              </w:rPr>
              <w:t>TaxaJuros</w:t>
            </w:r>
          </w:p>
        </w:tc>
        <w:tc>
          <w:tcPr>
            <w:tcW w:w="357" w:type="dxa"/>
            <w:shd w:val="clear" w:color="auto" w:fill="auto"/>
          </w:tcPr>
          <w:p w14:paraId="2527ED63" w14:textId="77777777" w:rsidR="00BC6130" w:rsidRPr="007A4415" w:rsidRDefault="00BC6130" w:rsidP="00003AC6">
            <w:pPr>
              <w:jc w:val="both"/>
              <w:rPr>
                <w:rFonts w:ascii="Arial" w:hAnsi="Arial" w:cs="Arial"/>
                <w:b/>
                <w:strike/>
                <w:color w:val="000000"/>
                <w:sz w:val="24"/>
                <w:szCs w:val="24"/>
              </w:rPr>
            </w:pPr>
          </w:p>
        </w:tc>
        <w:tc>
          <w:tcPr>
            <w:tcW w:w="6625" w:type="dxa"/>
            <w:shd w:val="clear" w:color="auto" w:fill="auto"/>
          </w:tcPr>
          <w:p w14:paraId="07CAA7C4" w14:textId="77777777" w:rsidR="00BC6130" w:rsidRPr="007A4415" w:rsidRDefault="00BC6130" w:rsidP="00003AC6">
            <w:pPr>
              <w:jc w:val="both"/>
              <w:rPr>
                <w:rFonts w:ascii="Arial" w:hAnsi="Arial" w:cs="Arial"/>
                <w:b/>
                <w:i/>
                <w:iCs/>
                <w:strike/>
                <w:color w:val="000000"/>
                <w:sz w:val="24"/>
                <w:szCs w:val="24"/>
              </w:rPr>
            </w:pPr>
            <w:r w:rsidRPr="007A4415">
              <w:rPr>
                <w:rFonts w:ascii="Arial" w:hAnsi="Arial" w:cs="Arial"/>
                <w:b/>
                <w:color w:val="000000"/>
                <w:sz w:val="24"/>
                <w:szCs w:val="24"/>
              </w:rPr>
              <w:t>.....% (....... por cento)</w:t>
            </w:r>
          </w:p>
        </w:tc>
      </w:tr>
      <w:tr w:rsidR="00BC6130" w:rsidRPr="00797A8C" w14:paraId="1169E1FA" w14:textId="77777777" w:rsidTr="00003AC6">
        <w:tc>
          <w:tcPr>
            <w:tcW w:w="1418" w:type="dxa"/>
            <w:shd w:val="clear" w:color="auto" w:fill="auto"/>
          </w:tcPr>
          <w:p w14:paraId="0AB1E2D6" w14:textId="77777777" w:rsidR="00BC6130" w:rsidRPr="00797A8C" w:rsidRDefault="00BC6130" w:rsidP="00003AC6">
            <w:pPr>
              <w:jc w:val="both"/>
              <w:rPr>
                <w:rFonts w:ascii="Arial" w:hAnsi="Arial" w:cs="Arial"/>
                <w:b/>
                <w:color w:val="000000"/>
                <w:sz w:val="24"/>
                <w:szCs w:val="24"/>
              </w:rPr>
            </w:pPr>
            <w:r w:rsidRPr="00797A8C">
              <w:rPr>
                <w:rFonts w:ascii="Arial" w:hAnsi="Arial" w:cs="Arial"/>
                <w:b/>
                <w:i/>
                <w:iCs/>
                <w:color w:val="000000"/>
                <w:sz w:val="24"/>
                <w:szCs w:val="24"/>
              </w:rPr>
              <w:t>DP</w:t>
            </w:r>
          </w:p>
        </w:tc>
        <w:tc>
          <w:tcPr>
            <w:tcW w:w="357" w:type="dxa"/>
            <w:shd w:val="clear" w:color="auto" w:fill="auto"/>
          </w:tcPr>
          <w:p w14:paraId="6557EE34" w14:textId="77777777" w:rsidR="00BC6130" w:rsidRPr="00050EC3" w:rsidRDefault="00BC6130" w:rsidP="00003AC6">
            <w:pPr>
              <w:jc w:val="both"/>
              <w:rPr>
                <w:rFonts w:ascii="Arial" w:hAnsi="Arial" w:cs="Arial"/>
                <w:b/>
                <w:color w:val="000000"/>
                <w:sz w:val="24"/>
                <w:szCs w:val="24"/>
              </w:rPr>
            </w:pPr>
            <w:r w:rsidRPr="00050EC3">
              <w:rPr>
                <w:rFonts w:ascii="Arial" w:hAnsi="Arial" w:cs="Arial"/>
                <w:b/>
                <w:color w:val="000000"/>
                <w:sz w:val="24"/>
                <w:szCs w:val="24"/>
              </w:rPr>
              <w:t>=</w:t>
            </w:r>
          </w:p>
        </w:tc>
        <w:tc>
          <w:tcPr>
            <w:tcW w:w="6625" w:type="dxa"/>
            <w:shd w:val="clear" w:color="auto" w:fill="auto"/>
          </w:tcPr>
          <w:p w14:paraId="795A1F26" w14:textId="77777777" w:rsidR="00BC6130" w:rsidRPr="007A4415" w:rsidRDefault="00BC6130" w:rsidP="00003AC6">
            <w:pPr>
              <w:jc w:val="both"/>
              <w:rPr>
                <w:rFonts w:ascii="Arial" w:hAnsi="Arial" w:cs="Arial"/>
                <w:b/>
                <w:color w:val="000000"/>
                <w:sz w:val="24"/>
                <w:szCs w:val="24"/>
              </w:rPr>
            </w:pPr>
            <w:r w:rsidRPr="007A4415">
              <w:rPr>
                <w:rFonts w:ascii="Arial" w:hAnsi="Arial" w:cs="Arial"/>
                <w:b/>
                <w:color w:val="000000"/>
                <w:sz w:val="24"/>
                <w:szCs w:val="24"/>
              </w:rPr>
              <w:t>número inteiro equivalente ao número de dias úteis entre o último evento e a data atual.</w:t>
            </w:r>
          </w:p>
        </w:tc>
      </w:tr>
      <w:tr w:rsidR="00BC6130" w:rsidRPr="00797A8C" w14:paraId="3A5FC3CF" w14:textId="77777777" w:rsidTr="00003AC6">
        <w:tc>
          <w:tcPr>
            <w:tcW w:w="1418" w:type="dxa"/>
            <w:tcBorders>
              <w:top w:val="single" w:sz="4" w:space="0" w:color="auto"/>
              <w:left w:val="single" w:sz="4" w:space="0" w:color="auto"/>
              <w:bottom w:val="single" w:sz="4" w:space="0" w:color="auto"/>
              <w:right w:val="single" w:sz="4" w:space="0" w:color="auto"/>
            </w:tcBorders>
            <w:shd w:val="clear" w:color="auto" w:fill="auto"/>
          </w:tcPr>
          <w:p w14:paraId="260F0053" w14:textId="77777777" w:rsidR="00BC6130" w:rsidRPr="00797A8C" w:rsidRDefault="00BC6130" w:rsidP="00003AC6">
            <w:pPr>
              <w:jc w:val="both"/>
              <w:rPr>
                <w:rFonts w:ascii="Arial" w:hAnsi="Arial" w:cs="Arial"/>
                <w:b/>
                <w:i/>
                <w:color w:val="000000"/>
                <w:sz w:val="24"/>
                <w:szCs w:val="24"/>
              </w:rPr>
            </w:pPr>
            <w:r w:rsidRPr="00797A8C">
              <w:rPr>
                <w:rFonts w:ascii="Arial" w:hAnsi="Arial" w:cs="Arial"/>
                <w:b/>
                <w:i/>
                <w:iCs/>
                <w:color w:val="000000"/>
                <w:sz w:val="24"/>
                <w:szCs w:val="24"/>
              </w:rPr>
              <w:t>FatorSelic</w:t>
            </w:r>
          </w:p>
        </w:tc>
        <w:tc>
          <w:tcPr>
            <w:tcW w:w="357" w:type="dxa"/>
            <w:tcBorders>
              <w:top w:val="single" w:sz="4" w:space="0" w:color="auto"/>
              <w:left w:val="single" w:sz="4" w:space="0" w:color="auto"/>
              <w:bottom w:val="single" w:sz="4" w:space="0" w:color="auto"/>
              <w:right w:val="single" w:sz="4" w:space="0" w:color="auto"/>
            </w:tcBorders>
            <w:shd w:val="clear" w:color="auto" w:fill="auto"/>
          </w:tcPr>
          <w:p w14:paraId="288C3517" w14:textId="77777777" w:rsidR="00BC6130" w:rsidRPr="00050EC3" w:rsidRDefault="00BC6130" w:rsidP="00003AC6">
            <w:pPr>
              <w:jc w:val="both"/>
              <w:rPr>
                <w:rFonts w:ascii="Arial" w:hAnsi="Arial" w:cs="Arial"/>
                <w:b/>
                <w:color w:val="000000"/>
                <w:sz w:val="24"/>
                <w:szCs w:val="24"/>
              </w:rPr>
            </w:pPr>
            <w:r w:rsidRPr="00050EC3">
              <w:rPr>
                <w:rFonts w:ascii="Arial" w:hAnsi="Arial" w:cs="Arial"/>
                <w:b/>
                <w:color w:val="000000"/>
                <w:sz w:val="24"/>
                <w:szCs w:val="24"/>
              </w:rPr>
              <w:t>=</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25DD6B07" w14:textId="77777777" w:rsidR="00BC6130" w:rsidRPr="007A4415" w:rsidRDefault="00BC6130" w:rsidP="00003AC6">
            <w:pPr>
              <w:jc w:val="both"/>
              <w:rPr>
                <w:rFonts w:ascii="Arial" w:hAnsi="Arial" w:cs="Arial"/>
                <w:b/>
                <w:color w:val="000000"/>
                <w:sz w:val="24"/>
                <w:szCs w:val="24"/>
              </w:rPr>
            </w:pPr>
            <w:r w:rsidRPr="007A4415">
              <w:rPr>
                <w:rFonts w:ascii="Arial" w:hAnsi="Arial" w:cs="Arial"/>
                <w:b/>
                <w:color w:val="000000"/>
                <w:sz w:val="24"/>
                <w:szCs w:val="24"/>
              </w:rPr>
              <w:t>produtório das Taxas SELIC da data de início de cada Período de Juros, inclusive, até a data de cálculo exclusive, apurado da seguinte forma:</w:t>
            </w:r>
          </w:p>
        </w:tc>
      </w:tr>
    </w:tbl>
    <w:p w14:paraId="06E7B4FE" w14:textId="77777777" w:rsidR="00BC6130" w:rsidRPr="00797A8C" w:rsidRDefault="00BC6130" w:rsidP="00BC6130">
      <w:pPr>
        <w:jc w:val="both"/>
        <w:rPr>
          <w:rFonts w:ascii="Arial" w:hAnsi="Arial" w:cs="Arial"/>
          <w:b/>
          <w:color w:val="000000"/>
          <w:sz w:val="24"/>
          <w:szCs w:val="24"/>
        </w:rPr>
      </w:pPr>
    </w:p>
    <w:p w14:paraId="0217311F" w14:textId="77777777" w:rsidR="00BC6130" w:rsidRPr="00797A8C" w:rsidRDefault="00BC6130" w:rsidP="00BC6130">
      <w:pPr>
        <w:jc w:val="both"/>
        <w:rPr>
          <w:rFonts w:ascii="Arial" w:hAnsi="Arial" w:cs="Arial"/>
          <w:b/>
          <w:color w:val="000000"/>
          <w:sz w:val="24"/>
          <w:szCs w:val="24"/>
        </w:rPr>
      </w:pPr>
    </w:p>
    <w:p w14:paraId="4EC41241" w14:textId="40C59051" w:rsidR="00BC6130" w:rsidRPr="00797A8C" w:rsidRDefault="008E3FBF" w:rsidP="00BC6130">
      <w:pPr>
        <w:jc w:val="center"/>
        <w:rPr>
          <w:rFonts w:ascii="Arial" w:hAnsi="Arial" w:cs="Arial"/>
          <w:b/>
          <w:color w:val="000000"/>
          <w:sz w:val="24"/>
          <w:szCs w:val="24"/>
        </w:rPr>
      </w:pPr>
      <w:r w:rsidRPr="00797A8C">
        <w:rPr>
          <w:rFonts w:ascii="Arial" w:hAnsi="Arial" w:cs="Arial"/>
          <w:b/>
          <w:i/>
          <w:noProof/>
          <w:color w:val="000000"/>
          <w:position w:val="-28"/>
          <w:sz w:val="24"/>
          <w:szCs w:val="24"/>
        </w:rPr>
        <w:drawing>
          <wp:inline distT="0" distB="0" distL="0" distR="0" wp14:anchorId="7FBE6D60" wp14:editId="33AE4CD0">
            <wp:extent cx="2108200" cy="516255"/>
            <wp:effectExtent l="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8200" cy="516255"/>
                    </a:xfrm>
                    <a:prstGeom prst="rect">
                      <a:avLst/>
                    </a:prstGeom>
                    <a:noFill/>
                    <a:ln>
                      <a:noFill/>
                    </a:ln>
                  </pic:spPr>
                </pic:pic>
              </a:graphicData>
            </a:graphic>
          </wp:inline>
        </w:drawing>
      </w:r>
    </w:p>
    <w:p w14:paraId="52FD36F5" w14:textId="77777777" w:rsidR="00BC6130" w:rsidRPr="00797A8C" w:rsidRDefault="00BC6130" w:rsidP="00BC6130">
      <w:pPr>
        <w:jc w:val="both"/>
        <w:rPr>
          <w:rFonts w:ascii="Arial" w:hAnsi="Arial" w:cs="Arial"/>
          <w:b/>
          <w:color w:val="000000"/>
          <w:sz w:val="24"/>
          <w:szCs w:val="24"/>
        </w:rPr>
      </w:pPr>
    </w:p>
    <w:p w14:paraId="573242B3" w14:textId="77777777" w:rsidR="00BC6130" w:rsidRPr="00050EC3" w:rsidRDefault="00BC6130" w:rsidP="00BC6130">
      <w:pPr>
        <w:ind w:left="3403" w:hanging="2323"/>
        <w:jc w:val="both"/>
        <w:rPr>
          <w:rFonts w:ascii="Arial" w:hAnsi="Arial" w:cs="Arial"/>
          <w:b/>
          <w:i/>
          <w:color w:val="000000"/>
          <w:sz w:val="24"/>
          <w:szCs w:val="24"/>
        </w:rPr>
      </w:pPr>
      <w:r w:rsidRPr="00050EC3">
        <w:rPr>
          <w:rFonts w:ascii="Arial" w:hAnsi="Arial" w:cs="Arial"/>
          <w:b/>
          <w:iCs/>
          <w:color w:val="000000"/>
          <w:sz w:val="24"/>
          <w:szCs w:val="24"/>
        </w:rPr>
        <w:t>Em que:</w:t>
      </w:r>
    </w:p>
    <w:tbl>
      <w:tblPr>
        <w:tblW w:w="84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62"/>
        <w:gridCol w:w="6917"/>
      </w:tblGrid>
      <w:tr w:rsidR="00BC6130" w:rsidRPr="00797A8C" w14:paraId="64A465D3" w14:textId="77777777" w:rsidTr="00003AC6">
        <w:tc>
          <w:tcPr>
            <w:tcW w:w="935" w:type="dxa"/>
            <w:shd w:val="clear" w:color="auto" w:fill="auto"/>
          </w:tcPr>
          <w:p w14:paraId="3E35A3DF" w14:textId="77777777" w:rsidR="00BC6130" w:rsidRPr="007A4415" w:rsidRDefault="00BC6130" w:rsidP="00003AC6">
            <w:pPr>
              <w:jc w:val="both"/>
              <w:rPr>
                <w:rFonts w:ascii="Arial" w:hAnsi="Arial" w:cs="Arial"/>
                <w:b/>
                <w:i/>
                <w:color w:val="000000"/>
                <w:sz w:val="24"/>
                <w:szCs w:val="24"/>
              </w:rPr>
            </w:pPr>
            <w:r w:rsidRPr="007A4415">
              <w:rPr>
                <w:rFonts w:ascii="Arial" w:hAnsi="Arial" w:cs="Arial"/>
                <w:b/>
                <w:i/>
                <w:color w:val="000000"/>
                <w:sz w:val="24"/>
                <w:szCs w:val="24"/>
              </w:rPr>
              <w:t>n</w:t>
            </w:r>
            <w:r w:rsidRPr="007A4415">
              <w:rPr>
                <w:rFonts w:ascii="Arial" w:hAnsi="Arial" w:cs="Arial"/>
                <w:b/>
                <w:i/>
                <w:color w:val="000000"/>
                <w:sz w:val="24"/>
                <w:szCs w:val="24"/>
                <w:vertAlign w:val="subscript"/>
              </w:rPr>
              <w:t>Selic</w:t>
            </w:r>
          </w:p>
        </w:tc>
        <w:tc>
          <w:tcPr>
            <w:tcW w:w="464" w:type="dxa"/>
            <w:shd w:val="clear" w:color="auto" w:fill="auto"/>
          </w:tcPr>
          <w:p w14:paraId="2ADC697F" w14:textId="77777777" w:rsidR="00BC6130" w:rsidRPr="007A4415" w:rsidRDefault="00BC6130" w:rsidP="00003AC6">
            <w:pPr>
              <w:jc w:val="both"/>
              <w:rPr>
                <w:rFonts w:ascii="Arial" w:hAnsi="Arial" w:cs="Arial"/>
                <w:b/>
                <w:i/>
                <w:color w:val="000000"/>
                <w:sz w:val="24"/>
                <w:szCs w:val="24"/>
              </w:rPr>
            </w:pPr>
            <w:r w:rsidRPr="007A4415">
              <w:rPr>
                <w:rFonts w:ascii="Arial" w:hAnsi="Arial" w:cs="Arial"/>
                <w:b/>
                <w:i/>
                <w:color w:val="000000"/>
                <w:sz w:val="24"/>
                <w:szCs w:val="24"/>
              </w:rPr>
              <w:t>=</w:t>
            </w:r>
          </w:p>
        </w:tc>
        <w:tc>
          <w:tcPr>
            <w:tcW w:w="7001" w:type="dxa"/>
            <w:shd w:val="clear" w:color="auto" w:fill="auto"/>
          </w:tcPr>
          <w:p w14:paraId="64C7EB8D" w14:textId="77777777" w:rsidR="00BC6130" w:rsidRPr="00F01F75" w:rsidRDefault="00BC6130" w:rsidP="00003AC6">
            <w:pPr>
              <w:jc w:val="both"/>
              <w:rPr>
                <w:rFonts w:ascii="Arial" w:hAnsi="Arial" w:cs="Arial"/>
                <w:b/>
                <w:color w:val="000000"/>
                <w:sz w:val="24"/>
                <w:szCs w:val="24"/>
              </w:rPr>
            </w:pPr>
            <w:r w:rsidRPr="00F01F75">
              <w:rPr>
                <w:rFonts w:ascii="Arial" w:hAnsi="Arial" w:cs="Arial"/>
                <w:b/>
                <w:color w:val="000000"/>
                <w:sz w:val="24"/>
                <w:szCs w:val="24"/>
              </w:rPr>
              <w:t>número inteiro equivalente ao número total de Taxas SELIC;</w:t>
            </w:r>
          </w:p>
        </w:tc>
      </w:tr>
      <w:tr w:rsidR="00BC6130" w:rsidRPr="00797A8C" w14:paraId="45625AB1" w14:textId="77777777" w:rsidTr="00003AC6">
        <w:tc>
          <w:tcPr>
            <w:tcW w:w="935" w:type="dxa"/>
            <w:shd w:val="clear" w:color="auto" w:fill="auto"/>
          </w:tcPr>
          <w:p w14:paraId="11E3352F" w14:textId="77777777" w:rsidR="00BC6130" w:rsidRPr="00797A8C" w:rsidRDefault="00BC6130" w:rsidP="00003AC6">
            <w:pPr>
              <w:jc w:val="both"/>
              <w:rPr>
                <w:rFonts w:ascii="Arial" w:hAnsi="Arial" w:cs="Arial"/>
                <w:b/>
                <w:i/>
                <w:color w:val="000000"/>
                <w:sz w:val="24"/>
                <w:szCs w:val="24"/>
              </w:rPr>
            </w:pPr>
            <w:r w:rsidRPr="00797A8C">
              <w:rPr>
                <w:rFonts w:ascii="Arial" w:hAnsi="Arial" w:cs="Arial"/>
                <w:b/>
                <w:i/>
                <w:color w:val="000000"/>
                <w:sz w:val="24"/>
                <w:szCs w:val="24"/>
              </w:rPr>
              <w:t>TSelic</w:t>
            </w:r>
            <w:r w:rsidRPr="00797A8C">
              <w:rPr>
                <w:rFonts w:ascii="Arial" w:hAnsi="Arial" w:cs="Arial"/>
                <w:b/>
                <w:i/>
                <w:color w:val="000000"/>
                <w:sz w:val="24"/>
                <w:szCs w:val="24"/>
                <w:vertAlign w:val="subscript"/>
              </w:rPr>
              <w:t>L</w:t>
            </w:r>
          </w:p>
        </w:tc>
        <w:tc>
          <w:tcPr>
            <w:tcW w:w="464" w:type="dxa"/>
            <w:shd w:val="clear" w:color="auto" w:fill="auto"/>
          </w:tcPr>
          <w:p w14:paraId="547C0445" w14:textId="77777777" w:rsidR="00BC6130" w:rsidRPr="00050EC3" w:rsidRDefault="00BC6130" w:rsidP="00003AC6">
            <w:pPr>
              <w:jc w:val="both"/>
              <w:rPr>
                <w:rFonts w:ascii="Arial" w:hAnsi="Arial" w:cs="Arial"/>
                <w:b/>
                <w:i/>
                <w:color w:val="000000"/>
                <w:sz w:val="24"/>
                <w:szCs w:val="24"/>
              </w:rPr>
            </w:pPr>
            <w:r w:rsidRPr="00050EC3">
              <w:rPr>
                <w:rFonts w:ascii="Arial" w:hAnsi="Arial" w:cs="Arial"/>
                <w:b/>
                <w:i/>
                <w:color w:val="000000"/>
                <w:sz w:val="24"/>
                <w:szCs w:val="24"/>
              </w:rPr>
              <w:t>=</w:t>
            </w:r>
          </w:p>
        </w:tc>
        <w:tc>
          <w:tcPr>
            <w:tcW w:w="7001" w:type="dxa"/>
            <w:shd w:val="clear" w:color="auto" w:fill="auto"/>
          </w:tcPr>
          <w:p w14:paraId="34BCADBF" w14:textId="77777777" w:rsidR="00BC6130" w:rsidRPr="00B82233" w:rsidRDefault="00BC6130" w:rsidP="00003AC6">
            <w:pPr>
              <w:jc w:val="both"/>
              <w:rPr>
                <w:rFonts w:ascii="Arial" w:hAnsi="Arial" w:cs="Arial"/>
                <w:b/>
                <w:color w:val="000000"/>
                <w:sz w:val="24"/>
                <w:szCs w:val="24"/>
              </w:rPr>
            </w:pPr>
            <w:r w:rsidRPr="007A4415">
              <w:rPr>
                <w:rFonts w:ascii="Arial" w:hAnsi="Arial" w:cs="Arial"/>
                <w:b/>
                <w:color w:val="000000"/>
                <w:sz w:val="24"/>
                <w:szCs w:val="24"/>
              </w:rPr>
              <w:t xml:space="preserve"> Taxa SELIC, defasada de 10 (dez) dias úteis em relação ao dia “L”, expressa ao dia, apurada da seguinte forma:</w:t>
            </w:r>
          </w:p>
        </w:tc>
      </w:tr>
    </w:tbl>
    <w:p w14:paraId="693E1E20" w14:textId="77777777" w:rsidR="00BC6130" w:rsidRPr="00797A8C" w:rsidRDefault="00BC6130" w:rsidP="00BC6130">
      <w:pPr>
        <w:ind w:left="2833"/>
        <w:jc w:val="both"/>
        <w:rPr>
          <w:rFonts w:ascii="Arial" w:hAnsi="Arial" w:cs="Arial"/>
          <w:b/>
          <w:i/>
          <w:color w:val="000000"/>
          <w:sz w:val="24"/>
          <w:szCs w:val="24"/>
        </w:rPr>
      </w:pPr>
    </w:p>
    <w:p w14:paraId="0F16AC10" w14:textId="0B62093C" w:rsidR="00BC6130" w:rsidRPr="00797A8C" w:rsidRDefault="008E3FBF" w:rsidP="00BC6130">
      <w:pPr>
        <w:ind w:left="1134"/>
        <w:jc w:val="center"/>
        <w:rPr>
          <w:rFonts w:ascii="Arial" w:hAnsi="Arial" w:cs="Arial"/>
          <w:b/>
          <w:color w:val="000000"/>
          <w:sz w:val="24"/>
          <w:szCs w:val="24"/>
        </w:rPr>
      </w:pPr>
      <w:r w:rsidRPr="00797A8C">
        <w:rPr>
          <w:rFonts w:ascii="Arial" w:hAnsi="Arial" w:cs="Arial"/>
          <w:b/>
          <w:i/>
          <w:noProof/>
          <w:color w:val="000000"/>
          <w:position w:val="-44"/>
          <w:sz w:val="24"/>
          <w:szCs w:val="24"/>
        </w:rPr>
        <w:drawing>
          <wp:inline distT="0" distB="0" distL="0" distR="0" wp14:anchorId="4776ED8B" wp14:editId="2D9A169B">
            <wp:extent cx="1913255" cy="6350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3255" cy="635000"/>
                    </a:xfrm>
                    <a:prstGeom prst="rect">
                      <a:avLst/>
                    </a:prstGeom>
                    <a:noFill/>
                    <a:ln>
                      <a:noFill/>
                    </a:ln>
                  </pic:spPr>
                </pic:pic>
              </a:graphicData>
            </a:graphic>
          </wp:inline>
        </w:drawing>
      </w:r>
    </w:p>
    <w:p w14:paraId="73D38DA5" w14:textId="77777777" w:rsidR="00BC6130" w:rsidRPr="00797A8C" w:rsidRDefault="00BC6130" w:rsidP="00BC6130">
      <w:pPr>
        <w:ind w:left="1080"/>
        <w:jc w:val="both"/>
        <w:rPr>
          <w:rFonts w:ascii="Arial" w:hAnsi="Arial" w:cs="Arial"/>
          <w:b/>
          <w:iCs/>
          <w:color w:val="000000"/>
          <w:sz w:val="24"/>
          <w:szCs w:val="24"/>
        </w:rPr>
      </w:pPr>
    </w:p>
    <w:p w14:paraId="15EDD6C0" w14:textId="77777777" w:rsidR="00BC6130" w:rsidRPr="00050EC3" w:rsidRDefault="00BC6130" w:rsidP="00BC6130">
      <w:pPr>
        <w:ind w:left="1080"/>
        <w:jc w:val="both"/>
        <w:rPr>
          <w:rFonts w:ascii="Arial" w:hAnsi="Arial" w:cs="Arial"/>
          <w:b/>
          <w:iCs/>
          <w:color w:val="000000"/>
          <w:sz w:val="24"/>
          <w:szCs w:val="24"/>
        </w:rPr>
      </w:pPr>
    </w:p>
    <w:p w14:paraId="60543520" w14:textId="77777777" w:rsidR="00BC6130" w:rsidRPr="007A4415" w:rsidRDefault="00BC6130" w:rsidP="00BC6130">
      <w:pPr>
        <w:ind w:left="1080"/>
        <w:jc w:val="both"/>
        <w:rPr>
          <w:rFonts w:ascii="Arial" w:hAnsi="Arial" w:cs="Arial"/>
          <w:b/>
          <w:iCs/>
          <w:color w:val="000000"/>
          <w:sz w:val="24"/>
          <w:szCs w:val="24"/>
        </w:rPr>
      </w:pPr>
      <w:r w:rsidRPr="007A4415">
        <w:rPr>
          <w:rFonts w:ascii="Arial" w:hAnsi="Arial" w:cs="Arial"/>
          <w:b/>
          <w:iCs/>
          <w:color w:val="000000"/>
          <w:sz w:val="24"/>
          <w:szCs w:val="24"/>
        </w:rPr>
        <w:t>Em que:</w:t>
      </w:r>
    </w:p>
    <w:p w14:paraId="1987015E" w14:textId="77777777" w:rsidR="00BC6130" w:rsidRPr="007A4415" w:rsidRDefault="00BC6130" w:rsidP="00BC6130">
      <w:pPr>
        <w:ind w:left="2833"/>
        <w:jc w:val="both"/>
        <w:rPr>
          <w:rFonts w:ascii="Arial" w:hAnsi="Arial" w:cs="Arial"/>
          <w:b/>
          <w:i/>
          <w:color w:val="000000"/>
          <w:sz w:val="24"/>
          <w:szCs w:val="24"/>
        </w:rPr>
      </w:pPr>
    </w:p>
    <w:tbl>
      <w:tblPr>
        <w:tblW w:w="84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464"/>
        <w:gridCol w:w="6833"/>
      </w:tblGrid>
      <w:tr w:rsidR="00BC6130" w:rsidRPr="00797A8C" w14:paraId="3C1E5C52" w14:textId="77777777" w:rsidTr="00003AC6">
        <w:tc>
          <w:tcPr>
            <w:tcW w:w="1103" w:type="dxa"/>
            <w:shd w:val="clear" w:color="auto" w:fill="auto"/>
          </w:tcPr>
          <w:p w14:paraId="6B4C2679" w14:textId="77777777" w:rsidR="00BC6130" w:rsidRPr="007A4415" w:rsidRDefault="00BC6130" w:rsidP="00003AC6">
            <w:pPr>
              <w:jc w:val="both"/>
              <w:rPr>
                <w:rFonts w:ascii="Arial" w:hAnsi="Arial" w:cs="Arial"/>
                <w:b/>
                <w:i/>
                <w:color w:val="000000"/>
                <w:sz w:val="24"/>
                <w:szCs w:val="24"/>
              </w:rPr>
            </w:pPr>
            <w:r w:rsidRPr="007A4415">
              <w:rPr>
                <w:rFonts w:ascii="Arial" w:hAnsi="Arial" w:cs="Arial"/>
                <w:b/>
                <w:i/>
                <w:color w:val="000000"/>
                <w:sz w:val="24"/>
                <w:szCs w:val="24"/>
              </w:rPr>
              <w:t>L</w:t>
            </w:r>
          </w:p>
        </w:tc>
        <w:tc>
          <w:tcPr>
            <w:tcW w:w="464" w:type="dxa"/>
            <w:shd w:val="clear" w:color="auto" w:fill="auto"/>
          </w:tcPr>
          <w:p w14:paraId="636CDA0E" w14:textId="77777777" w:rsidR="00BC6130" w:rsidRPr="00F01F75" w:rsidRDefault="00BC6130" w:rsidP="00003AC6">
            <w:pPr>
              <w:jc w:val="both"/>
              <w:rPr>
                <w:rFonts w:ascii="Arial" w:hAnsi="Arial" w:cs="Arial"/>
                <w:b/>
                <w:i/>
                <w:color w:val="000000"/>
                <w:sz w:val="24"/>
                <w:szCs w:val="24"/>
              </w:rPr>
            </w:pPr>
            <w:r w:rsidRPr="00F01F75">
              <w:rPr>
                <w:rFonts w:ascii="Arial" w:hAnsi="Arial" w:cs="Arial"/>
                <w:b/>
                <w:i/>
                <w:color w:val="000000"/>
                <w:sz w:val="24"/>
                <w:szCs w:val="24"/>
              </w:rPr>
              <w:t>=</w:t>
            </w:r>
          </w:p>
        </w:tc>
        <w:tc>
          <w:tcPr>
            <w:tcW w:w="6833" w:type="dxa"/>
            <w:shd w:val="clear" w:color="auto" w:fill="auto"/>
          </w:tcPr>
          <w:p w14:paraId="61F62CB7" w14:textId="77777777" w:rsidR="00BC6130" w:rsidRPr="00F01F75" w:rsidRDefault="00BC6130" w:rsidP="00003AC6">
            <w:pPr>
              <w:jc w:val="both"/>
              <w:rPr>
                <w:rFonts w:ascii="Arial" w:hAnsi="Arial" w:cs="Arial"/>
                <w:b/>
                <w:color w:val="000000"/>
                <w:sz w:val="24"/>
                <w:szCs w:val="24"/>
              </w:rPr>
            </w:pPr>
            <w:r w:rsidRPr="00F01F75">
              <w:rPr>
                <w:rFonts w:ascii="Arial" w:hAnsi="Arial" w:cs="Arial"/>
                <w:b/>
                <w:color w:val="000000"/>
                <w:sz w:val="24"/>
                <w:szCs w:val="24"/>
              </w:rPr>
              <w:t>número inteiro equivalente ao dia (1, 2, ..., n);</w:t>
            </w:r>
          </w:p>
        </w:tc>
      </w:tr>
      <w:tr w:rsidR="00BC6130" w:rsidRPr="00797A8C" w14:paraId="00FB5EC4" w14:textId="77777777" w:rsidTr="00003AC6">
        <w:tc>
          <w:tcPr>
            <w:tcW w:w="1103" w:type="dxa"/>
            <w:shd w:val="clear" w:color="auto" w:fill="auto"/>
          </w:tcPr>
          <w:p w14:paraId="73C88895" w14:textId="77777777" w:rsidR="00BC6130" w:rsidRPr="00797A8C" w:rsidRDefault="00BC6130" w:rsidP="00003AC6">
            <w:pPr>
              <w:jc w:val="both"/>
              <w:rPr>
                <w:rFonts w:ascii="Arial" w:hAnsi="Arial" w:cs="Arial"/>
                <w:b/>
                <w:i/>
                <w:color w:val="000000"/>
                <w:sz w:val="24"/>
                <w:szCs w:val="24"/>
              </w:rPr>
            </w:pPr>
            <w:r w:rsidRPr="00797A8C">
              <w:rPr>
                <w:rFonts w:ascii="Arial" w:hAnsi="Arial" w:cs="Arial"/>
                <w:b/>
                <w:i/>
                <w:color w:val="000000"/>
                <w:sz w:val="24"/>
                <w:szCs w:val="24"/>
              </w:rPr>
              <w:t>Selic</w:t>
            </w:r>
            <w:r w:rsidRPr="00797A8C">
              <w:rPr>
                <w:rFonts w:ascii="Arial" w:hAnsi="Arial" w:cs="Arial"/>
                <w:b/>
                <w:i/>
                <w:color w:val="000000"/>
                <w:sz w:val="24"/>
                <w:szCs w:val="24"/>
                <w:vertAlign w:val="subscript"/>
              </w:rPr>
              <w:t>L</w:t>
            </w:r>
          </w:p>
        </w:tc>
        <w:tc>
          <w:tcPr>
            <w:tcW w:w="464" w:type="dxa"/>
            <w:shd w:val="clear" w:color="auto" w:fill="auto"/>
          </w:tcPr>
          <w:p w14:paraId="6F2CB150" w14:textId="77777777" w:rsidR="00BC6130" w:rsidRPr="00050EC3" w:rsidRDefault="00BC6130" w:rsidP="00003AC6">
            <w:pPr>
              <w:jc w:val="both"/>
              <w:rPr>
                <w:rFonts w:ascii="Arial" w:hAnsi="Arial" w:cs="Arial"/>
                <w:b/>
                <w:i/>
                <w:color w:val="000000"/>
                <w:sz w:val="24"/>
                <w:szCs w:val="24"/>
              </w:rPr>
            </w:pPr>
            <w:r w:rsidRPr="00050EC3">
              <w:rPr>
                <w:rFonts w:ascii="Arial" w:hAnsi="Arial" w:cs="Arial"/>
                <w:b/>
                <w:i/>
                <w:color w:val="000000"/>
                <w:sz w:val="24"/>
                <w:szCs w:val="24"/>
              </w:rPr>
              <w:t>=</w:t>
            </w:r>
          </w:p>
        </w:tc>
        <w:tc>
          <w:tcPr>
            <w:tcW w:w="6833" w:type="dxa"/>
            <w:shd w:val="clear" w:color="auto" w:fill="auto"/>
          </w:tcPr>
          <w:p w14:paraId="209B4D90" w14:textId="77777777" w:rsidR="00BC6130" w:rsidRPr="00B82233" w:rsidRDefault="00BC6130" w:rsidP="00003AC6">
            <w:pPr>
              <w:jc w:val="both"/>
              <w:rPr>
                <w:rFonts w:ascii="Arial" w:hAnsi="Arial" w:cs="Arial"/>
                <w:b/>
                <w:color w:val="000000"/>
                <w:sz w:val="24"/>
                <w:szCs w:val="24"/>
              </w:rPr>
            </w:pPr>
            <w:r w:rsidRPr="007A4415">
              <w:rPr>
                <w:rFonts w:ascii="Arial" w:hAnsi="Arial" w:cs="Arial"/>
                <w:b/>
                <w:color w:val="000000"/>
                <w:sz w:val="24"/>
                <w:szCs w:val="24"/>
              </w:rPr>
              <w:t>Taxa SELIC, expressa ao ano (base de 252 dias úteis), defasada de 10 (dez) dias úteis em relação ao dia “L”; divulgada pelo Banco Central do Brasil;</w:t>
            </w:r>
          </w:p>
        </w:tc>
      </w:tr>
    </w:tbl>
    <w:p w14:paraId="466F2353" w14:textId="77777777" w:rsidR="00BC6130" w:rsidRPr="00797A8C" w:rsidRDefault="00BC6130" w:rsidP="00BC6130">
      <w:pPr>
        <w:spacing w:before="120" w:after="120"/>
        <w:jc w:val="both"/>
        <w:rPr>
          <w:rFonts w:ascii="Arial" w:hAnsi="Arial" w:cs="Arial"/>
          <w:color w:val="000000"/>
          <w:sz w:val="24"/>
          <w:szCs w:val="24"/>
        </w:rPr>
      </w:pPr>
    </w:p>
    <w:p w14:paraId="30AB01BE" w14:textId="77777777" w:rsidR="00BC6130" w:rsidRPr="00B82233" w:rsidRDefault="00BC6130" w:rsidP="00BC6130">
      <w:pPr>
        <w:spacing w:before="120" w:after="120"/>
        <w:jc w:val="both"/>
        <w:rPr>
          <w:rFonts w:ascii="Arial" w:hAnsi="Arial" w:cs="Arial"/>
          <w:sz w:val="24"/>
          <w:szCs w:val="24"/>
        </w:rPr>
      </w:pPr>
      <w:r w:rsidRPr="00797A8C">
        <w:rPr>
          <w:rFonts w:ascii="Arial" w:hAnsi="Arial" w:cs="Arial"/>
          <w:color w:val="000000"/>
          <w:sz w:val="24"/>
          <w:szCs w:val="24"/>
        </w:rPr>
        <w:t>Define-se "Período de Juros" como sendo o intervalo de tempo que se inicia na data da primeira liberação do crédito, no caso do primeiro período, ou na data prevista do p</w:t>
      </w:r>
      <w:r w:rsidRPr="00050EC3">
        <w:rPr>
          <w:rFonts w:ascii="Arial" w:hAnsi="Arial" w:cs="Arial"/>
          <w:color w:val="000000"/>
          <w:sz w:val="24"/>
          <w:szCs w:val="24"/>
        </w:rPr>
        <w:t xml:space="preserve">agamento dos juros imediatamente anterior, no caso dos demais, e termina na data </w:t>
      </w:r>
      <w:r w:rsidRPr="00050EC3">
        <w:rPr>
          <w:rFonts w:ascii="Arial" w:hAnsi="Arial" w:cs="Arial"/>
          <w:color w:val="000000"/>
          <w:sz w:val="24"/>
          <w:szCs w:val="24"/>
        </w:rPr>
        <w:lastRenderedPageBreak/>
        <w:t>prevista do pagamento de juros correspondente ao período, sendo que cada Período de Juros sucede o anterior sem solução de continuidade.</w:t>
      </w:r>
    </w:p>
    <w:p w14:paraId="2B6EAC1E" w14:textId="77777777" w:rsidR="00BC6130" w:rsidRPr="00050EC3" w:rsidRDefault="00BC6130" w:rsidP="00BC6130">
      <w:pPr>
        <w:tabs>
          <w:tab w:val="left" w:pos="1320"/>
        </w:tabs>
        <w:spacing w:after="120"/>
        <w:ind w:left="1320" w:hanging="720"/>
        <w:jc w:val="both"/>
        <w:rPr>
          <w:rFonts w:ascii="Arial" w:hAnsi="Arial" w:cs="Arial"/>
          <w:color w:val="000000"/>
          <w:sz w:val="24"/>
          <w:szCs w:val="24"/>
        </w:rPr>
      </w:pPr>
      <w:r w:rsidRPr="00797A8C">
        <w:rPr>
          <w:rFonts w:ascii="Arial" w:hAnsi="Arial" w:cs="Arial"/>
          <w:color w:val="000000"/>
          <w:sz w:val="24"/>
          <w:szCs w:val="24"/>
        </w:rPr>
        <w:t xml:space="preserve">            A Taxa SELIC deverá ser utilizada considerando idêntico número de casas decimais divulgado pelo órgão responsável pelo seu cálculo</w:t>
      </w:r>
      <w:r w:rsidRPr="00050EC3">
        <w:rPr>
          <w:rFonts w:ascii="Arial" w:hAnsi="Arial" w:cs="Arial"/>
          <w:color w:val="000000"/>
          <w:sz w:val="24"/>
          <w:szCs w:val="24"/>
        </w:rPr>
        <w:t>.</w:t>
      </w:r>
    </w:p>
    <w:p w14:paraId="4FCDC96C" w14:textId="77777777" w:rsidR="00BC6130" w:rsidRPr="007A4415" w:rsidRDefault="00BC6130" w:rsidP="00BC6130">
      <w:pPr>
        <w:tabs>
          <w:tab w:val="left" w:pos="1320"/>
        </w:tabs>
        <w:spacing w:after="120"/>
        <w:ind w:left="1320" w:hanging="720"/>
        <w:jc w:val="both"/>
        <w:rPr>
          <w:rFonts w:ascii="Arial" w:hAnsi="Arial" w:cs="Arial"/>
          <w:color w:val="000000"/>
          <w:sz w:val="24"/>
          <w:szCs w:val="24"/>
        </w:rPr>
      </w:pPr>
      <w:r w:rsidRPr="007A4415">
        <w:rPr>
          <w:rFonts w:ascii="Arial" w:hAnsi="Arial" w:cs="Arial"/>
          <w:color w:val="000000"/>
          <w:sz w:val="24"/>
          <w:szCs w:val="24"/>
        </w:rPr>
        <w:t xml:space="preserve">           No caso de indisponibilidade temporária da Taxa SELIC quando do pagamento de qualquer obrigação pecuniária prevista no Contrato, será utilizada a última Taxa SELIC conhecida até a data do cálculo, não sendo devidas quaisquer compensações financeiras tanto pelo credor quanto pelo devedor, quando da divulgação posterior da Taxa SELIC, observado o disposto no parágrafo abaixo.</w:t>
      </w:r>
    </w:p>
    <w:p w14:paraId="24B51BDD" w14:textId="71CB2E7B" w:rsidR="00BC6130" w:rsidRPr="00797A8C" w:rsidRDefault="00BC6130" w:rsidP="00BC6130">
      <w:pPr>
        <w:tabs>
          <w:tab w:val="left" w:pos="1320"/>
        </w:tabs>
        <w:spacing w:after="120"/>
        <w:ind w:left="1320" w:hanging="720"/>
        <w:jc w:val="both"/>
        <w:rPr>
          <w:rFonts w:ascii="Arial" w:hAnsi="Arial" w:cs="Arial"/>
          <w:color w:val="000000"/>
          <w:sz w:val="24"/>
          <w:szCs w:val="24"/>
        </w:rPr>
      </w:pPr>
      <w:r w:rsidRPr="00F01F75">
        <w:rPr>
          <w:rFonts w:ascii="Arial" w:hAnsi="Arial" w:cs="Arial"/>
          <w:color w:val="000000"/>
          <w:sz w:val="24"/>
          <w:szCs w:val="24"/>
        </w:rPr>
        <w:t xml:space="preserve">           Na hipótese de indisponibilidade da Taxa SELIC, a que se refere o parágrafo anterior, por período superior a 60 (sessenta) dias ou de extinção da Taxa SELIC, pela superveniência de normas legais ou regulamentares, ou alteração dos critérios de sua aplicação, o Sistema BNDES escolherá um índice substituto que melhor preserve o valor real da operação e a remunere nos mesmos níveis anteriores. </w:t>
      </w:r>
      <w:r w:rsidRPr="00B82233">
        <w:rPr>
          <w:rFonts w:ascii="Arial" w:hAnsi="Arial" w:cs="Arial"/>
          <w:sz w:val="24"/>
          <w:szCs w:val="24"/>
        </w:rPr>
        <w:t xml:space="preserve">Nesse caso, a INSTITUIÇÃO FINANCEIRA CREDENCIADA comunicará a alteração por escrito, </w:t>
      </w:r>
      <w:r w:rsidR="0080070D">
        <w:rPr>
          <w:rFonts w:ascii="Arial" w:hAnsi="Arial" w:cs="Arial"/>
          <w:sz w:val="24"/>
          <w:szCs w:val="24"/>
        </w:rPr>
        <w:t>ao</w:t>
      </w:r>
      <w:r w:rsidRPr="00B82233">
        <w:rPr>
          <w:rFonts w:ascii="Arial" w:hAnsi="Arial" w:cs="Arial"/>
          <w:sz w:val="24"/>
          <w:szCs w:val="24"/>
        </w:rPr>
        <w:t xml:space="preserve"> </w:t>
      </w:r>
      <w:r w:rsidR="004C5446">
        <w:rPr>
          <w:rFonts w:ascii="Arial" w:hAnsi="Arial" w:cs="Arial"/>
          <w:sz w:val="24"/>
          <w:szCs w:val="24"/>
        </w:rPr>
        <w:t>CLIENTE</w:t>
      </w:r>
      <w:r w:rsidRPr="00797A8C">
        <w:rPr>
          <w:rFonts w:ascii="Arial" w:hAnsi="Arial" w:cs="Arial"/>
          <w:color w:val="000000"/>
          <w:sz w:val="24"/>
          <w:szCs w:val="24"/>
        </w:rPr>
        <w:t xml:space="preserve">. </w:t>
      </w:r>
    </w:p>
    <w:p w14:paraId="36D8F439" w14:textId="3DB547A7" w:rsidR="00BA57C6" w:rsidRDefault="00BC6130" w:rsidP="00BA57C6">
      <w:pPr>
        <w:tabs>
          <w:tab w:val="left" w:pos="1320"/>
        </w:tabs>
        <w:spacing w:after="120"/>
        <w:ind w:left="1320" w:hanging="720"/>
        <w:jc w:val="both"/>
        <w:rPr>
          <w:rFonts w:ascii="Arial" w:hAnsi="Arial" w:cs="Arial"/>
          <w:color w:val="000000"/>
          <w:sz w:val="24"/>
          <w:szCs w:val="24"/>
        </w:rPr>
      </w:pPr>
      <w:r w:rsidRPr="00050EC3">
        <w:rPr>
          <w:rFonts w:ascii="Arial" w:hAnsi="Arial" w:cs="Arial"/>
          <w:color w:val="000000"/>
          <w:sz w:val="24"/>
          <w:szCs w:val="24"/>
        </w:rPr>
        <w:t xml:space="preserve">           O montante apurado, nos termos da Cláusula de Juros, será exigível ................ [trimestral/</w:t>
      </w:r>
      <w:r w:rsidRPr="00D024A8">
        <w:rPr>
          <w:rFonts w:ascii="Arial" w:hAnsi="Arial" w:cs="Arial"/>
          <w:color w:val="000000"/>
          <w:sz w:val="24"/>
          <w:szCs w:val="24"/>
        </w:rPr>
        <w:t>semestral/anualmente], durante o prazo de carência, e ................ [mensal/semestral/anualmente], durante o período de amortização, juntamente com as parcelas de amortização do principal e no vencimento ou liquidação do Contrato, observado o disposto n</w:t>
      </w:r>
      <w:r w:rsidR="00D024A8" w:rsidRPr="00D024A8">
        <w:rPr>
          <w:rFonts w:ascii="Arial" w:hAnsi="Arial" w:cs="Arial"/>
          <w:color w:val="000000"/>
          <w:sz w:val="24"/>
          <w:szCs w:val="24"/>
        </w:rPr>
        <w:t>a Cláusula</w:t>
      </w:r>
      <w:r w:rsidRPr="00D024A8">
        <w:rPr>
          <w:rFonts w:ascii="Arial" w:hAnsi="Arial" w:cs="Arial"/>
          <w:color w:val="000000"/>
          <w:sz w:val="24"/>
          <w:szCs w:val="24"/>
        </w:rPr>
        <w:t xml:space="preserve"> item </w:t>
      </w:r>
      <w:r w:rsidR="00552590" w:rsidRPr="00D024A8">
        <w:rPr>
          <w:rFonts w:ascii="Arial" w:hAnsi="Arial" w:cs="Arial"/>
          <w:color w:val="000000"/>
          <w:sz w:val="24"/>
          <w:szCs w:val="24"/>
        </w:rPr>
        <w:t>“VENCIMENTO EM DIAS FERIADOS”</w:t>
      </w:r>
      <w:r w:rsidRPr="00D024A8">
        <w:rPr>
          <w:rFonts w:ascii="Arial" w:hAnsi="Arial" w:cs="Arial"/>
          <w:color w:val="000000"/>
          <w:sz w:val="24"/>
          <w:szCs w:val="24"/>
        </w:rPr>
        <w:t>.</w:t>
      </w:r>
    </w:p>
    <w:p w14:paraId="60A71852" w14:textId="3DB547A7" w:rsidR="00BA57C6" w:rsidRDefault="00BA57C6" w:rsidP="00BA57C6">
      <w:pPr>
        <w:tabs>
          <w:tab w:val="left" w:pos="1320"/>
        </w:tabs>
        <w:spacing w:after="120"/>
        <w:ind w:left="1320" w:hanging="720"/>
        <w:jc w:val="both"/>
        <w:rPr>
          <w:rFonts w:ascii="Arial" w:hAnsi="Arial" w:cs="Arial"/>
          <w:color w:val="000000"/>
          <w:sz w:val="24"/>
          <w:szCs w:val="24"/>
        </w:rPr>
      </w:pPr>
    </w:p>
    <w:p w14:paraId="055CF2EF"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59E078F0"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138C7F49"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0FFBBCCF"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478707E6"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2246CCF6"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1131BB02"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3BDFF3B3"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1994E7CE"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008D9225"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522C53C8"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0996FE4C"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00A65200"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07A479CF" w14:textId="77777777" w:rsidR="00BA57C6" w:rsidRDefault="00BA57C6" w:rsidP="00BA57C6">
      <w:pPr>
        <w:tabs>
          <w:tab w:val="left" w:pos="1320"/>
        </w:tabs>
        <w:spacing w:after="120"/>
        <w:ind w:left="1320" w:hanging="720"/>
        <w:jc w:val="both"/>
        <w:rPr>
          <w:rFonts w:ascii="Arial" w:hAnsi="Arial" w:cs="Arial"/>
          <w:color w:val="000000"/>
          <w:sz w:val="24"/>
          <w:szCs w:val="24"/>
        </w:rPr>
      </w:pPr>
    </w:p>
    <w:p w14:paraId="2B10462D" w14:textId="77777777" w:rsidR="00963F6D" w:rsidRDefault="00963F6D" w:rsidP="00BA57C6">
      <w:pPr>
        <w:tabs>
          <w:tab w:val="left" w:pos="1320"/>
        </w:tabs>
        <w:spacing w:after="120"/>
        <w:ind w:left="1320" w:hanging="720"/>
        <w:jc w:val="both"/>
        <w:rPr>
          <w:rFonts w:ascii="Arial" w:hAnsi="Arial" w:cs="Arial"/>
          <w:color w:val="000000"/>
          <w:sz w:val="24"/>
          <w:szCs w:val="24"/>
        </w:rPr>
      </w:pPr>
    </w:p>
    <w:p w14:paraId="1117C190" w14:textId="17C92DA1" w:rsidR="00C10B74" w:rsidRPr="00B82233" w:rsidRDefault="00C10B74" w:rsidP="00C10B74">
      <w:pPr>
        <w:pStyle w:val="BNDES"/>
        <w:numPr>
          <w:ilvl w:val="0"/>
          <w:numId w:val="49"/>
        </w:numPr>
        <w:ind w:left="709" w:hanging="709"/>
        <w:rPr>
          <w:rFonts w:cs="Arial"/>
          <w:b/>
          <w:szCs w:val="24"/>
          <w:u w:val="single"/>
        </w:rPr>
      </w:pPr>
      <w:r>
        <w:rPr>
          <w:rFonts w:cs="Arial"/>
          <w:b/>
          <w:bCs/>
          <w:u w:val="single"/>
        </w:rPr>
        <w:br w:type="page"/>
      </w:r>
      <w:r w:rsidRPr="00B82233">
        <w:rPr>
          <w:rFonts w:cs="Arial"/>
          <w:b/>
          <w:szCs w:val="24"/>
          <w:u w:val="single"/>
        </w:rPr>
        <w:lastRenderedPageBreak/>
        <w:t>C</w:t>
      </w:r>
      <w:r w:rsidRPr="00797A8C">
        <w:rPr>
          <w:rFonts w:cs="Arial"/>
          <w:b/>
          <w:szCs w:val="24"/>
          <w:u w:val="single"/>
        </w:rPr>
        <w:t>láusulas e</w:t>
      </w:r>
      <w:r>
        <w:rPr>
          <w:rFonts w:cs="Arial"/>
          <w:b/>
          <w:szCs w:val="24"/>
          <w:u w:val="single"/>
        </w:rPr>
        <w:t>specíficas</w:t>
      </w:r>
      <w:r w:rsidRPr="00B82233">
        <w:rPr>
          <w:rFonts w:cs="Arial"/>
          <w:b/>
          <w:szCs w:val="24"/>
          <w:u w:val="single"/>
        </w:rPr>
        <w:t xml:space="preserve"> que deverão constar nos </w:t>
      </w:r>
      <w:r>
        <w:rPr>
          <w:rFonts w:cs="Arial"/>
          <w:b/>
          <w:szCs w:val="24"/>
          <w:u w:val="single"/>
        </w:rPr>
        <w:t>instrumentos jurídicos que formalizam a operação de crédito</w:t>
      </w:r>
      <w:r w:rsidRPr="00133EC2">
        <w:rPr>
          <w:rFonts w:cs="Arial"/>
          <w:b/>
          <w:szCs w:val="24"/>
          <w:u w:val="single"/>
        </w:rPr>
        <w:t xml:space="preserve"> </w:t>
      </w:r>
      <w:r w:rsidRPr="00B82233">
        <w:rPr>
          <w:rFonts w:cs="Arial"/>
          <w:b/>
          <w:szCs w:val="24"/>
          <w:u w:val="single"/>
        </w:rPr>
        <w:t xml:space="preserve">com Custo Financeiro em </w:t>
      </w:r>
      <w:r>
        <w:rPr>
          <w:rFonts w:cs="Arial"/>
          <w:b/>
          <w:szCs w:val="24"/>
          <w:u w:val="single"/>
        </w:rPr>
        <w:t xml:space="preserve">Taxa </w:t>
      </w:r>
      <w:r w:rsidRPr="0076759C">
        <w:rPr>
          <w:rFonts w:cs="Arial"/>
          <w:b/>
          <w:szCs w:val="24"/>
          <w:u w:val="single"/>
        </w:rPr>
        <w:t>LCD</w:t>
      </w:r>
      <w:r w:rsidRPr="00513BEA">
        <w:rPr>
          <w:rFonts w:cs="Arial"/>
          <w:b/>
          <w:szCs w:val="24"/>
          <w:u w:val="single"/>
          <w:vertAlign w:val="superscript"/>
        </w:rPr>
        <w:t>CAP</w:t>
      </w:r>
      <w:r w:rsidRPr="00C10B74">
        <w:rPr>
          <w:rFonts w:cs="Arial"/>
          <w:b/>
          <w:szCs w:val="24"/>
          <w:u w:val="single"/>
        </w:rPr>
        <w:t xml:space="preserve"> </w:t>
      </w:r>
      <w:r>
        <w:rPr>
          <w:rFonts w:cs="Arial"/>
          <w:b/>
          <w:szCs w:val="24"/>
          <w:u w:val="single"/>
        </w:rPr>
        <w:t>(CAPITALIZADA)</w:t>
      </w:r>
      <w:r w:rsidRPr="00C10B74">
        <w:rPr>
          <w:rFonts w:cs="Arial"/>
          <w:b/>
          <w:szCs w:val="24"/>
        </w:rPr>
        <w:t xml:space="preserve"> </w:t>
      </w:r>
      <w:r>
        <w:rPr>
          <w:rFonts w:cs="Arial"/>
          <w:b/>
          <w:i/>
          <w:color w:val="000099"/>
          <w:sz w:val="20"/>
          <w:szCs w:val="24"/>
        </w:rPr>
        <w:t>(Incluído pela Circular SUP/ADIG Nº 20/2025-BNDES, de 10.03.2025)</w:t>
      </w:r>
    </w:p>
    <w:p w14:paraId="576973C6" w14:textId="77777777" w:rsidR="00C10B74" w:rsidRPr="00797A8C" w:rsidRDefault="00C10B74" w:rsidP="00C10B74">
      <w:pPr>
        <w:jc w:val="both"/>
        <w:rPr>
          <w:rFonts w:ascii="Arial" w:hAnsi="Arial" w:cs="Arial"/>
          <w:b/>
          <w:sz w:val="24"/>
          <w:szCs w:val="24"/>
          <w:u w:val="single"/>
        </w:rPr>
      </w:pPr>
    </w:p>
    <w:p w14:paraId="038B5132" w14:textId="77777777" w:rsidR="00C10B74" w:rsidRPr="00B82233" w:rsidRDefault="00C10B74" w:rsidP="00C10B74">
      <w:pPr>
        <w:jc w:val="both"/>
        <w:rPr>
          <w:rFonts w:ascii="Arial" w:hAnsi="Arial" w:cs="Arial"/>
          <w:sz w:val="24"/>
          <w:szCs w:val="24"/>
          <w:u w:val="single"/>
        </w:rPr>
      </w:pPr>
    </w:p>
    <w:p w14:paraId="12B68B9C" w14:textId="77777777" w:rsidR="00C10B74" w:rsidRPr="00B82233" w:rsidRDefault="00C10B74" w:rsidP="00C10B74">
      <w:pPr>
        <w:jc w:val="both"/>
        <w:rPr>
          <w:rFonts w:ascii="Arial" w:hAnsi="Arial" w:cs="Arial"/>
          <w:sz w:val="24"/>
          <w:szCs w:val="24"/>
        </w:rPr>
      </w:pPr>
      <w:r w:rsidRPr="00B82233">
        <w:rPr>
          <w:rFonts w:ascii="Arial" w:hAnsi="Arial" w:cs="Arial"/>
          <w:sz w:val="24"/>
          <w:szCs w:val="24"/>
          <w:u w:val="single"/>
        </w:rPr>
        <w:t>VALOR DO CRÉDITO</w:t>
      </w:r>
      <w:r w:rsidRPr="00B82233">
        <w:rPr>
          <w:rFonts w:ascii="Arial" w:hAnsi="Arial" w:cs="Arial"/>
          <w:sz w:val="24"/>
          <w:szCs w:val="24"/>
        </w:rPr>
        <w:t xml:space="preserve">: R$ ................... (..............), a ser provido com recursos ordinários do </w:t>
      </w:r>
      <w:r>
        <w:rPr>
          <w:rFonts w:ascii="Arial" w:hAnsi="Arial" w:cs="Arial"/>
          <w:sz w:val="24"/>
          <w:szCs w:val="24"/>
        </w:rPr>
        <w:t xml:space="preserve">Sistema </w:t>
      </w:r>
      <w:r w:rsidRPr="00B82233">
        <w:rPr>
          <w:rFonts w:ascii="Arial" w:hAnsi="Arial" w:cs="Arial"/>
          <w:sz w:val="24"/>
          <w:szCs w:val="24"/>
        </w:rPr>
        <w:t xml:space="preserve">BNDES, que são compostos, dentre outras fontes, pelos recursos do Fundo de Amparo ao Trabalhador – FAT e pelos recursos originários do FAT – Depósitos Especiais, respeitada, quanto à sua alocação, a legislação aplicável a cada uma das aludidas fontes, à conta do Contrato de Abertura de Crédito (CAC) celebrado entre o </w:t>
      </w:r>
      <w:r>
        <w:rPr>
          <w:rFonts w:ascii="Arial" w:hAnsi="Arial" w:cs="Arial"/>
          <w:sz w:val="24"/>
          <w:szCs w:val="24"/>
        </w:rPr>
        <w:t xml:space="preserve">Sistema </w:t>
      </w:r>
      <w:r w:rsidRPr="00B82233">
        <w:rPr>
          <w:rFonts w:ascii="Arial" w:hAnsi="Arial" w:cs="Arial"/>
          <w:sz w:val="24"/>
          <w:szCs w:val="24"/>
        </w:rPr>
        <w:t>BNDES e INSTITUIÇÕES FINANCEIRAS CREDENCIADAS.</w:t>
      </w:r>
    </w:p>
    <w:p w14:paraId="0016AC1A" w14:textId="77777777" w:rsidR="00C10B74" w:rsidRPr="00B82233" w:rsidRDefault="00C10B74" w:rsidP="00C10B74">
      <w:pPr>
        <w:jc w:val="both"/>
        <w:rPr>
          <w:rFonts w:ascii="Arial" w:hAnsi="Arial" w:cs="Arial"/>
          <w:sz w:val="24"/>
          <w:szCs w:val="24"/>
        </w:rPr>
      </w:pPr>
    </w:p>
    <w:p w14:paraId="00D51F6A" w14:textId="77777777" w:rsidR="00C10B74" w:rsidRPr="00B82233" w:rsidRDefault="00C10B74" w:rsidP="00C10B74">
      <w:pPr>
        <w:spacing w:before="120" w:after="120"/>
        <w:jc w:val="both"/>
        <w:rPr>
          <w:rFonts w:ascii="Arial" w:hAnsi="Arial" w:cs="Arial"/>
          <w:sz w:val="24"/>
          <w:szCs w:val="24"/>
        </w:rPr>
      </w:pPr>
      <w:r w:rsidRPr="00B82233">
        <w:rPr>
          <w:rFonts w:ascii="Arial" w:hAnsi="Arial" w:cs="Arial"/>
          <w:sz w:val="24"/>
          <w:szCs w:val="24"/>
          <w:u w:val="single"/>
        </w:rPr>
        <w:t>JUROS</w:t>
      </w:r>
      <w:r w:rsidRPr="00B82233">
        <w:rPr>
          <w:rFonts w:ascii="Arial" w:hAnsi="Arial" w:cs="Arial"/>
          <w:sz w:val="24"/>
          <w:szCs w:val="24"/>
        </w:rPr>
        <w:t>: Os juros serão devidos às</w:t>
      </w:r>
      <w:r w:rsidRPr="00797A8C">
        <w:rPr>
          <w:rFonts w:ascii="Arial" w:hAnsi="Arial" w:cs="Arial"/>
          <w:color w:val="000000"/>
          <w:sz w:val="24"/>
          <w:szCs w:val="24"/>
        </w:rPr>
        <w:t xml:space="preserve"> seguintes taxas, observada a sistemática estabelecida nas condições adiante:</w:t>
      </w:r>
    </w:p>
    <w:p w14:paraId="0B22E14E" w14:textId="77777777" w:rsidR="00C10B74" w:rsidRPr="00797A8C" w:rsidRDefault="00C10B74" w:rsidP="00C10B74">
      <w:pPr>
        <w:pBdr>
          <w:top w:val="single" w:sz="4" w:space="11" w:color="auto"/>
          <w:left w:val="single" w:sz="4" w:space="4" w:color="auto"/>
          <w:bottom w:val="single" w:sz="4" w:space="15" w:color="auto"/>
          <w:right w:val="single" w:sz="4" w:space="4" w:color="auto"/>
        </w:pBdr>
        <w:tabs>
          <w:tab w:val="left" w:pos="0"/>
          <w:tab w:val="left" w:pos="9072"/>
        </w:tabs>
        <w:autoSpaceDE w:val="0"/>
        <w:autoSpaceDN w:val="0"/>
        <w:adjustRightInd w:val="0"/>
        <w:spacing w:before="120" w:after="240"/>
        <w:rPr>
          <w:rFonts w:ascii="Arial" w:hAnsi="Arial" w:cs="Arial"/>
          <w:color w:val="000000"/>
          <w:sz w:val="24"/>
          <w:szCs w:val="24"/>
        </w:rPr>
      </w:pPr>
      <w:r w:rsidRPr="007E1E32">
        <w:rPr>
          <w:rFonts w:ascii="Arial" w:hAnsi="Arial" w:cs="Arial"/>
          <w:b/>
          <w:color w:val="000000"/>
          <w:sz w:val="24"/>
          <w:szCs w:val="24"/>
        </w:rPr>
        <w:t xml:space="preserve">A </w:t>
      </w:r>
      <w:r w:rsidRPr="00635358">
        <w:rPr>
          <w:rFonts w:ascii="Arial" w:hAnsi="Arial" w:cs="Arial"/>
          <w:b/>
          <w:color w:val="000000"/>
          <w:sz w:val="24"/>
          <w:szCs w:val="24"/>
        </w:rPr>
        <w:t>Sobretaxa LCD</w:t>
      </w:r>
      <w:r w:rsidRPr="00DD0476">
        <w:rPr>
          <w:rFonts w:ascii="Arial" w:hAnsi="Arial" w:cs="Arial"/>
          <w:b/>
          <w:color w:val="000000"/>
          <w:sz w:val="24"/>
          <w:szCs w:val="24"/>
        </w:rPr>
        <w:t xml:space="preserve"> para o custo referenciado à taxa de </w:t>
      </w:r>
      <w:r w:rsidRPr="00635358">
        <w:rPr>
          <w:rFonts w:ascii="Arial" w:hAnsi="Arial" w:cs="Arial"/>
          <w:b/>
          <w:color w:val="000000"/>
          <w:sz w:val="24"/>
          <w:szCs w:val="24"/>
        </w:rPr>
        <w:t>juros Selic</w:t>
      </w:r>
      <w:r w:rsidRPr="007E1E32">
        <w:rPr>
          <w:rFonts w:ascii="Arial" w:hAnsi="Arial" w:cs="Arial"/>
          <w:b/>
          <w:color w:val="000000"/>
          <w:sz w:val="24"/>
          <w:szCs w:val="24"/>
        </w:rPr>
        <w:t xml:space="preserve"> deverá ser obtida no portal oficial do BNDES na Internet, </w:t>
      </w:r>
      <w:hyperlink r:id="rId21" w:history="1">
        <w:r w:rsidRPr="007E1E32">
          <w:rPr>
            <w:rFonts w:ascii="Arial" w:hAnsi="Arial" w:cs="Arial"/>
            <w:b/>
            <w:color w:val="000000"/>
            <w:sz w:val="24"/>
            <w:szCs w:val="24"/>
          </w:rPr>
          <w:t>http://www.bndes.gov.br/SiteBNDES/bndes/bndes_pt/Ferramentas_e_Normas/Moedas_Contratuais</w:t>
        </w:r>
      </w:hyperlink>
      <w:r w:rsidRPr="007E1E32">
        <w:rPr>
          <w:rFonts w:ascii="Arial" w:hAnsi="Arial" w:cs="Arial"/>
          <w:b/>
          <w:color w:val="000000"/>
          <w:sz w:val="24"/>
          <w:szCs w:val="24"/>
        </w:rPr>
        <w:t xml:space="preserve">), através de consulta pelo </w:t>
      </w:r>
      <w:r w:rsidRPr="00F25DDD">
        <w:rPr>
          <w:rFonts w:ascii="Arial" w:hAnsi="Arial" w:cs="Arial"/>
          <w:b/>
          <w:color w:val="000000"/>
          <w:sz w:val="24"/>
          <w:szCs w:val="24"/>
        </w:rPr>
        <w:t xml:space="preserve">código </w:t>
      </w:r>
      <w:r>
        <w:rPr>
          <w:rFonts w:ascii="Arial" w:hAnsi="Arial" w:cs="Arial"/>
          <w:b/>
          <w:color w:val="000000"/>
          <w:sz w:val="24"/>
          <w:szCs w:val="24"/>
        </w:rPr>
        <w:t>LD1.</w:t>
      </w:r>
    </w:p>
    <w:p w14:paraId="542A2C85" w14:textId="77777777" w:rsidR="00C10B74" w:rsidRPr="00797A8C" w:rsidRDefault="00C10B74" w:rsidP="00C10B74">
      <w:pPr>
        <w:ind w:left="2833" w:hanging="2549"/>
        <w:jc w:val="both"/>
        <w:rPr>
          <w:rFonts w:ascii="Arial" w:hAnsi="Arial" w:cs="Arial"/>
          <w:sz w:val="24"/>
          <w:szCs w:val="24"/>
        </w:rPr>
      </w:pPr>
      <w:r w:rsidRPr="00797A8C">
        <w:rPr>
          <w:rFonts w:ascii="Arial" w:hAnsi="Arial" w:cs="Arial"/>
          <w:color w:val="000000"/>
          <w:sz w:val="24"/>
          <w:szCs w:val="24"/>
        </w:rPr>
        <w:t xml:space="preserve">I - </w:t>
      </w:r>
      <w:r w:rsidRPr="00B82233">
        <w:rPr>
          <w:rFonts w:ascii="Arial" w:hAnsi="Arial" w:cs="Arial"/>
          <w:sz w:val="24"/>
          <w:szCs w:val="24"/>
          <w:u w:val="single"/>
        </w:rPr>
        <w:t xml:space="preserve">a serem cobrados à INSTITUIÇÃO FINANCEIRA CREDENCIADA pelo </w:t>
      </w:r>
      <w:r>
        <w:rPr>
          <w:rFonts w:ascii="Arial" w:hAnsi="Arial" w:cs="Arial"/>
          <w:sz w:val="24"/>
          <w:szCs w:val="24"/>
          <w:u w:val="single"/>
        </w:rPr>
        <w:t xml:space="preserve">Sistema </w:t>
      </w:r>
      <w:r w:rsidRPr="00B82233">
        <w:rPr>
          <w:rFonts w:ascii="Arial" w:hAnsi="Arial" w:cs="Arial"/>
          <w:sz w:val="24"/>
          <w:szCs w:val="24"/>
          <w:u w:val="single"/>
        </w:rPr>
        <w:t>BNDES</w:t>
      </w:r>
      <w:r w:rsidRPr="00B82233">
        <w:rPr>
          <w:rFonts w:ascii="Arial" w:hAnsi="Arial" w:cs="Arial"/>
          <w:sz w:val="24"/>
          <w:szCs w:val="24"/>
        </w:rPr>
        <w:t>:</w:t>
      </w:r>
    </w:p>
    <w:p w14:paraId="70FAC106" w14:textId="77777777" w:rsidR="00C10B74" w:rsidRPr="00797A8C" w:rsidRDefault="00C10B74" w:rsidP="00C10B74">
      <w:pPr>
        <w:ind w:left="2833" w:hanging="1753"/>
        <w:jc w:val="both"/>
        <w:rPr>
          <w:rFonts w:ascii="Arial" w:hAnsi="Arial" w:cs="Arial"/>
          <w:sz w:val="24"/>
          <w:szCs w:val="24"/>
        </w:rPr>
      </w:pPr>
    </w:p>
    <w:p w14:paraId="5ECC0195" w14:textId="77777777" w:rsidR="00C10B74" w:rsidRPr="00DD0476" w:rsidRDefault="00C10B74" w:rsidP="00C10B74">
      <w:pPr>
        <w:ind w:left="2833" w:hanging="1753"/>
        <w:jc w:val="both"/>
        <w:rPr>
          <w:rFonts w:ascii="Arial" w:hAnsi="Arial" w:cs="Arial"/>
          <w:color w:val="000000"/>
          <w:sz w:val="24"/>
          <w:szCs w:val="24"/>
        </w:rPr>
      </w:pPr>
      <w:r w:rsidRPr="00797A8C">
        <w:rPr>
          <w:rFonts w:ascii="Arial" w:hAnsi="Arial" w:cs="Arial"/>
          <w:color w:val="000000"/>
          <w:sz w:val="24"/>
          <w:szCs w:val="24"/>
        </w:rPr>
        <w:t>....... %</w:t>
      </w:r>
      <w:r w:rsidRPr="00050EC3">
        <w:rPr>
          <w:rFonts w:ascii="Arial" w:hAnsi="Arial" w:cs="Arial"/>
          <w:color w:val="000000"/>
          <w:sz w:val="24"/>
          <w:szCs w:val="24"/>
        </w:rPr>
        <w:t xml:space="preserve"> (............ por cento) </w:t>
      </w:r>
      <w:r w:rsidRPr="00050EC3">
        <w:rPr>
          <w:rFonts w:ascii="Arial" w:hAnsi="Arial" w:cs="Arial"/>
          <w:bCs/>
          <w:iCs/>
          <w:color w:val="000000"/>
          <w:sz w:val="24"/>
          <w:szCs w:val="24"/>
        </w:rPr>
        <w:t>[A taxa de juros corresponderá a .....% (soma da remuneração básica + taxa de intermediação financeira</w:t>
      </w:r>
      <w:r>
        <w:rPr>
          <w:rFonts w:ascii="Arial" w:hAnsi="Arial" w:cs="Arial"/>
          <w:bCs/>
          <w:iCs/>
          <w:color w:val="000000"/>
          <w:sz w:val="24"/>
          <w:szCs w:val="24"/>
        </w:rPr>
        <w:t>)</w:t>
      </w:r>
      <w:r w:rsidRPr="007A4415">
        <w:rPr>
          <w:rFonts w:ascii="Arial" w:hAnsi="Arial" w:cs="Arial"/>
          <w:bCs/>
          <w:iCs/>
          <w:color w:val="000000"/>
          <w:sz w:val="24"/>
          <w:szCs w:val="24"/>
        </w:rPr>
        <w:t xml:space="preserve">, acrescida da </w:t>
      </w:r>
      <w:r w:rsidRPr="00635358">
        <w:rPr>
          <w:rFonts w:ascii="Arial" w:hAnsi="Arial" w:cs="Arial"/>
          <w:bCs/>
          <w:iCs/>
          <w:color w:val="000000"/>
          <w:sz w:val="24"/>
          <w:szCs w:val="24"/>
        </w:rPr>
        <w:t>Sobretaxa LCD</w:t>
      </w:r>
      <w:r w:rsidRPr="00DD0476">
        <w:rPr>
          <w:rFonts w:ascii="Arial" w:hAnsi="Arial" w:cs="Arial"/>
          <w:bCs/>
          <w:iCs/>
          <w:color w:val="000000"/>
          <w:sz w:val="24"/>
          <w:szCs w:val="24"/>
        </w:rPr>
        <w:t xml:space="preserve"> a ser divulgada pelo Sistema BNDES, vigente na data da contratação]</w:t>
      </w:r>
      <w:r w:rsidRPr="00DD0476">
        <w:rPr>
          <w:rFonts w:ascii="Arial" w:hAnsi="Arial" w:cs="Arial"/>
          <w:color w:val="000000"/>
          <w:sz w:val="24"/>
          <w:szCs w:val="24"/>
        </w:rPr>
        <w:t xml:space="preserve"> ao ano (a título de remuneração), base 252 (duzentos e cinquenta e dois) dias úteis, de acordo com a fórmula a seguir: e </w:t>
      </w:r>
    </w:p>
    <w:p w14:paraId="53659B74" w14:textId="77777777" w:rsidR="00C10B74" w:rsidRPr="00DD0476" w:rsidRDefault="00C10B74" w:rsidP="00C10B74">
      <w:pPr>
        <w:ind w:left="2833" w:hanging="1753"/>
        <w:jc w:val="both"/>
        <w:rPr>
          <w:rFonts w:ascii="Arial" w:hAnsi="Arial" w:cs="Arial"/>
          <w:color w:val="000000"/>
          <w:sz w:val="24"/>
          <w:szCs w:val="24"/>
        </w:rPr>
      </w:pPr>
    </w:p>
    <w:p w14:paraId="7C098150" w14:textId="77777777" w:rsidR="00C10B74" w:rsidRPr="00DD0476" w:rsidRDefault="00C10B74" w:rsidP="00C10B74">
      <w:pPr>
        <w:ind w:left="426" w:hanging="142"/>
        <w:jc w:val="both"/>
        <w:rPr>
          <w:rFonts w:cs="Arial"/>
          <w:color w:val="000000"/>
          <w:szCs w:val="24"/>
        </w:rPr>
      </w:pPr>
      <w:r w:rsidRPr="00DD0476">
        <w:rPr>
          <w:rFonts w:ascii="Arial" w:hAnsi="Arial" w:cs="Arial"/>
          <w:color w:val="000000"/>
          <w:sz w:val="24"/>
          <w:szCs w:val="24"/>
        </w:rPr>
        <w:t>II -</w:t>
      </w:r>
      <w:r w:rsidRPr="00DD0476">
        <w:rPr>
          <w:rFonts w:ascii="Arial" w:hAnsi="Arial" w:cs="Arial"/>
          <w:color w:val="000000"/>
          <w:sz w:val="24"/>
          <w:szCs w:val="24"/>
        </w:rPr>
        <w:tab/>
        <w:t>a serem cobrados do CLIENTE pela INSTITUIÇÃO FINANCEIRA CREDENCIADA:</w:t>
      </w:r>
    </w:p>
    <w:p w14:paraId="13B2C18B" w14:textId="77777777" w:rsidR="00C10B74" w:rsidRPr="00DD0476" w:rsidRDefault="00C10B74" w:rsidP="00C10B74">
      <w:pPr>
        <w:ind w:left="2833" w:hanging="1753"/>
        <w:jc w:val="both"/>
        <w:rPr>
          <w:rFonts w:ascii="Arial" w:hAnsi="Arial" w:cs="Arial"/>
          <w:color w:val="000000"/>
          <w:sz w:val="24"/>
          <w:szCs w:val="24"/>
        </w:rPr>
      </w:pPr>
    </w:p>
    <w:p w14:paraId="4BB79F21" w14:textId="77777777" w:rsidR="00C10B74" w:rsidRPr="00B82233" w:rsidRDefault="00C10B74" w:rsidP="00C10B74">
      <w:pPr>
        <w:ind w:left="2833" w:hanging="1753"/>
        <w:jc w:val="both"/>
        <w:rPr>
          <w:rFonts w:ascii="Arial" w:hAnsi="Arial" w:cs="Arial"/>
          <w:color w:val="000000"/>
          <w:sz w:val="24"/>
          <w:szCs w:val="24"/>
        </w:rPr>
      </w:pPr>
      <w:r w:rsidRPr="00DD0476">
        <w:rPr>
          <w:rFonts w:ascii="Arial" w:hAnsi="Arial" w:cs="Arial"/>
          <w:color w:val="000000"/>
          <w:sz w:val="24"/>
          <w:szCs w:val="24"/>
        </w:rPr>
        <w:t xml:space="preserve">....... % (............ por cento) ao ano [A taxa de juros corresponderá a .....% (soma da remuneração básica + taxa de intermediação financeira + remuneração da instituição financeira credenciada), acrescida da </w:t>
      </w:r>
      <w:r w:rsidRPr="00635358">
        <w:rPr>
          <w:rFonts w:ascii="Arial" w:hAnsi="Arial" w:cs="Arial"/>
          <w:color w:val="000000"/>
          <w:sz w:val="24"/>
          <w:szCs w:val="24"/>
        </w:rPr>
        <w:t>Sobretaxa LCD</w:t>
      </w:r>
      <w:r w:rsidRPr="00DD0476">
        <w:rPr>
          <w:rFonts w:ascii="Arial" w:hAnsi="Arial" w:cs="Arial"/>
          <w:color w:val="000000"/>
          <w:sz w:val="24"/>
          <w:szCs w:val="24"/>
        </w:rPr>
        <w:t xml:space="preserve"> a s</w:t>
      </w:r>
      <w:r w:rsidRPr="00B82233">
        <w:rPr>
          <w:rFonts w:ascii="Arial" w:hAnsi="Arial" w:cs="Arial"/>
          <w:color w:val="000000"/>
          <w:sz w:val="24"/>
          <w:szCs w:val="24"/>
        </w:rPr>
        <w:t xml:space="preserve">er divulgada pelo </w:t>
      </w:r>
      <w:r>
        <w:rPr>
          <w:rFonts w:ascii="Arial" w:hAnsi="Arial" w:cs="Arial"/>
          <w:color w:val="000000"/>
          <w:sz w:val="24"/>
          <w:szCs w:val="24"/>
        </w:rPr>
        <w:t xml:space="preserve">Sistema </w:t>
      </w:r>
      <w:r w:rsidRPr="00B82233">
        <w:rPr>
          <w:rFonts w:ascii="Arial" w:hAnsi="Arial" w:cs="Arial"/>
          <w:color w:val="000000"/>
          <w:sz w:val="24"/>
          <w:szCs w:val="24"/>
        </w:rPr>
        <w:t>BNDES, vigente na data da contratação] ao ano (a título de remuneração), base 252 (duzentos e cinquenta e dois) dias úteis, de acordo com a fórmula a seguir:</w:t>
      </w:r>
    </w:p>
    <w:p w14:paraId="5E608037" w14:textId="77777777" w:rsidR="00C10B74" w:rsidRPr="00B82233" w:rsidRDefault="00C10B74" w:rsidP="00C10B74">
      <w:pPr>
        <w:ind w:left="1276"/>
        <w:rPr>
          <w:rFonts w:ascii="Arial" w:hAnsi="Arial" w:cs="Arial"/>
          <w:bCs/>
          <w:color w:val="000000"/>
          <w:sz w:val="24"/>
          <w:szCs w:val="24"/>
        </w:rPr>
      </w:pPr>
    </w:p>
    <w:p w14:paraId="3723A5E8" w14:textId="77777777" w:rsidR="00C10B74" w:rsidRPr="00797A8C" w:rsidRDefault="00C10B74" w:rsidP="00C10B74">
      <w:pPr>
        <w:ind w:left="2833" w:hanging="1753"/>
        <w:jc w:val="both"/>
        <w:rPr>
          <w:rFonts w:ascii="Arial" w:hAnsi="Arial" w:cs="Arial"/>
          <w:i/>
          <w:color w:val="000000"/>
          <w:sz w:val="24"/>
          <w:szCs w:val="24"/>
        </w:rPr>
      </w:pPr>
    </w:p>
    <w:p w14:paraId="6DA08CA5" w14:textId="77777777" w:rsidR="00C10B74" w:rsidRPr="00797A8C" w:rsidRDefault="00C10B74" w:rsidP="00C10B74">
      <w:pPr>
        <w:ind w:left="2833" w:hanging="1753"/>
        <w:jc w:val="both"/>
        <w:rPr>
          <w:rFonts w:ascii="Arial" w:hAnsi="Arial" w:cs="Arial"/>
          <w:i/>
          <w:color w:val="000000"/>
          <w:sz w:val="24"/>
          <w:szCs w:val="24"/>
        </w:rPr>
      </w:pPr>
      <w:r w:rsidRPr="00797A8C">
        <w:rPr>
          <w:rFonts w:ascii="Arial" w:hAnsi="Arial" w:cs="Arial"/>
          <w:noProof/>
          <w:color w:val="000000"/>
          <w:position w:val="-12"/>
          <w:sz w:val="24"/>
          <w:szCs w:val="24"/>
        </w:rPr>
        <w:drawing>
          <wp:inline distT="0" distB="0" distL="0" distR="0" wp14:anchorId="16D711DA" wp14:editId="53D4A393">
            <wp:extent cx="1676400" cy="236855"/>
            <wp:effectExtent l="0" t="0" r="0" b="0"/>
            <wp:docPr id="47742394" name="Imagem 4774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236855"/>
                    </a:xfrm>
                    <a:prstGeom prst="rect">
                      <a:avLst/>
                    </a:prstGeom>
                    <a:noFill/>
                    <a:ln>
                      <a:noFill/>
                    </a:ln>
                  </pic:spPr>
                </pic:pic>
              </a:graphicData>
            </a:graphic>
          </wp:inline>
        </w:drawing>
      </w:r>
    </w:p>
    <w:p w14:paraId="43408E34" w14:textId="77777777" w:rsidR="00C10B74" w:rsidRPr="00797A8C" w:rsidRDefault="00C10B74" w:rsidP="00C10B74">
      <w:pPr>
        <w:ind w:left="1058"/>
        <w:jc w:val="both"/>
        <w:rPr>
          <w:rFonts w:ascii="Arial" w:hAnsi="Arial" w:cs="Arial"/>
          <w:color w:val="000000"/>
          <w:sz w:val="24"/>
          <w:szCs w:val="24"/>
        </w:rPr>
      </w:pPr>
    </w:p>
    <w:p w14:paraId="1E9C28E6" w14:textId="77777777" w:rsidR="00C10B74" w:rsidRPr="00050EC3" w:rsidRDefault="00C10B74" w:rsidP="00C10B74">
      <w:pPr>
        <w:ind w:left="1058"/>
        <w:jc w:val="both"/>
        <w:rPr>
          <w:rFonts w:ascii="Arial" w:hAnsi="Arial" w:cs="Arial"/>
          <w:i/>
          <w:color w:val="000000"/>
          <w:sz w:val="24"/>
          <w:szCs w:val="24"/>
        </w:rPr>
      </w:pPr>
      <w:r w:rsidRPr="00050EC3">
        <w:rPr>
          <w:rFonts w:ascii="Arial" w:hAnsi="Arial" w:cs="Arial"/>
          <w:iCs/>
          <w:color w:val="000000"/>
          <w:sz w:val="24"/>
          <w:szCs w:val="24"/>
        </w:rPr>
        <w:t>Em que</w:t>
      </w:r>
      <w:r w:rsidRPr="00050EC3">
        <w:rPr>
          <w:rFonts w:ascii="Arial" w:hAnsi="Arial" w:cs="Arial"/>
          <w:i/>
          <w:color w:val="000000"/>
          <w:sz w:val="24"/>
          <w:szCs w:val="24"/>
        </w:rPr>
        <w:t>:</w:t>
      </w:r>
    </w:p>
    <w:p w14:paraId="67D9C862" w14:textId="77777777" w:rsidR="00C10B74" w:rsidRPr="007A4415" w:rsidRDefault="00C10B74" w:rsidP="00C10B74">
      <w:pPr>
        <w:ind w:left="709"/>
        <w:jc w:val="both"/>
        <w:rPr>
          <w:rFonts w:ascii="Arial" w:hAnsi="Arial" w:cs="Arial"/>
          <w:color w:val="000000"/>
          <w:sz w:val="24"/>
          <w:szCs w:val="24"/>
        </w:rPr>
      </w:pPr>
    </w:p>
    <w:tbl>
      <w:tblPr>
        <w:tblW w:w="8402" w:type="dxa"/>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4"/>
        <w:gridCol w:w="466"/>
        <w:gridCol w:w="6572"/>
      </w:tblGrid>
      <w:tr w:rsidR="00C10B74" w:rsidRPr="00797A8C" w14:paraId="06277466" w14:textId="77777777" w:rsidTr="0095505F">
        <w:tc>
          <w:tcPr>
            <w:tcW w:w="1364" w:type="dxa"/>
            <w:shd w:val="clear" w:color="auto" w:fill="auto"/>
          </w:tcPr>
          <w:p w14:paraId="28E946B9" w14:textId="77777777" w:rsidR="00C10B74" w:rsidRPr="007A4415" w:rsidRDefault="00C10B74" w:rsidP="0095505F">
            <w:pPr>
              <w:jc w:val="both"/>
              <w:rPr>
                <w:rFonts w:ascii="Arial" w:hAnsi="Arial" w:cs="Arial"/>
                <w:i/>
                <w:color w:val="000000"/>
                <w:sz w:val="24"/>
                <w:szCs w:val="24"/>
              </w:rPr>
            </w:pPr>
            <w:r w:rsidRPr="007A4415">
              <w:rPr>
                <w:rFonts w:ascii="Arial" w:hAnsi="Arial" w:cs="Arial"/>
                <w:i/>
                <w:color w:val="000000"/>
                <w:sz w:val="24"/>
                <w:szCs w:val="24"/>
              </w:rPr>
              <w:t>J</w:t>
            </w:r>
          </w:p>
        </w:tc>
        <w:tc>
          <w:tcPr>
            <w:tcW w:w="466" w:type="dxa"/>
            <w:shd w:val="clear" w:color="auto" w:fill="auto"/>
          </w:tcPr>
          <w:p w14:paraId="184AE8FF" w14:textId="77777777" w:rsidR="00C10B74" w:rsidRPr="007A4415" w:rsidRDefault="00C10B74" w:rsidP="0095505F">
            <w:pPr>
              <w:jc w:val="both"/>
              <w:rPr>
                <w:rFonts w:ascii="Arial" w:hAnsi="Arial" w:cs="Arial"/>
                <w:color w:val="000000"/>
                <w:sz w:val="24"/>
                <w:szCs w:val="24"/>
              </w:rPr>
            </w:pPr>
            <w:r w:rsidRPr="007A4415">
              <w:rPr>
                <w:rFonts w:ascii="Arial" w:hAnsi="Arial" w:cs="Arial"/>
                <w:color w:val="000000"/>
                <w:sz w:val="24"/>
                <w:szCs w:val="24"/>
              </w:rPr>
              <w:t>=</w:t>
            </w:r>
          </w:p>
        </w:tc>
        <w:tc>
          <w:tcPr>
            <w:tcW w:w="6555" w:type="dxa"/>
            <w:shd w:val="clear" w:color="auto" w:fill="auto"/>
          </w:tcPr>
          <w:p w14:paraId="0CD9448C" w14:textId="77777777" w:rsidR="00C10B74" w:rsidRPr="00F01F75" w:rsidRDefault="00C10B74" w:rsidP="0095505F">
            <w:pPr>
              <w:jc w:val="both"/>
              <w:rPr>
                <w:rFonts w:ascii="Arial" w:hAnsi="Arial" w:cs="Arial"/>
                <w:color w:val="000000"/>
                <w:sz w:val="24"/>
                <w:szCs w:val="24"/>
              </w:rPr>
            </w:pPr>
            <w:r w:rsidRPr="00F01F75">
              <w:rPr>
                <w:rFonts w:ascii="Arial" w:hAnsi="Arial" w:cs="Arial"/>
                <w:color w:val="000000"/>
                <w:sz w:val="24"/>
                <w:szCs w:val="24"/>
              </w:rPr>
              <w:t>valor dos juros devidos no final de cada Período de Capitalização, exigíveis conforme o disposto abaixo;</w:t>
            </w:r>
          </w:p>
        </w:tc>
      </w:tr>
      <w:tr w:rsidR="00C10B74" w:rsidRPr="00797A8C" w14:paraId="4236F0D6" w14:textId="77777777" w:rsidTr="0095505F">
        <w:tc>
          <w:tcPr>
            <w:tcW w:w="1364" w:type="dxa"/>
            <w:shd w:val="clear" w:color="auto" w:fill="auto"/>
          </w:tcPr>
          <w:p w14:paraId="32A90FBF" w14:textId="77777777" w:rsidR="00C10B74" w:rsidRPr="00797A8C" w:rsidRDefault="00C10B74" w:rsidP="0095505F">
            <w:pPr>
              <w:jc w:val="both"/>
              <w:rPr>
                <w:rFonts w:ascii="Arial" w:hAnsi="Arial" w:cs="Arial"/>
                <w:i/>
                <w:color w:val="000000"/>
                <w:sz w:val="24"/>
                <w:szCs w:val="24"/>
              </w:rPr>
            </w:pPr>
            <w:r w:rsidRPr="00797A8C">
              <w:rPr>
                <w:rFonts w:ascii="Arial" w:hAnsi="Arial" w:cs="Arial"/>
                <w:i/>
                <w:color w:val="000000"/>
                <w:sz w:val="24"/>
                <w:szCs w:val="24"/>
              </w:rPr>
              <w:t>Sd</w:t>
            </w:r>
          </w:p>
        </w:tc>
        <w:tc>
          <w:tcPr>
            <w:tcW w:w="466" w:type="dxa"/>
            <w:shd w:val="clear" w:color="auto" w:fill="auto"/>
          </w:tcPr>
          <w:p w14:paraId="1ACDF00D" w14:textId="77777777" w:rsidR="00C10B74" w:rsidRPr="00050EC3" w:rsidRDefault="00C10B74" w:rsidP="0095505F">
            <w:pPr>
              <w:jc w:val="both"/>
              <w:rPr>
                <w:rFonts w:ascii="Arial" w:hAnsi="Arial" w:cs="Arial"/>
                <w:color w:val="000000"/>
                <w:sz w:val="24"/>
                <w:szCs w:val="24"/>
              </w:rPr>
            </w:pPr>
            <w:r w:rsidRPr="00050EC3">
              <w:rPr>
                <w:rFonts w:ascii="Arial" w:hAnsi="Arial" w:cs="Arial"/>
                <w:color w:val="000000"/>
                <w:sz w:val="24"/>
                <w:szCs w:val="24"/>
              </w:rPr>
              <w:t>=</w:t>
            </w:r>
          </w:p>
        </w:tc>
        <w:tc>
          <w:tcPr>
            <w:tcW w:w="6555" w:type="dxa"/>
            <w:shd w:val="clear" w:color="auto" w:fill="auto"/>
          </w:tcPr>
          <w:p w14:paraId="697ED825" w14:textId="77777777" w:rsidR="00C10B74" w:rsidRPr="007A4415" w:rsidRDefault="00C10B74" w:rsidP="0095505F">
            <w:pPr>
              <w:jc w:val="both"/>
              <w:rPr>
                <w:rFonts w:ascii="Arial" w:hAnsi="Arial" w:cs="Arial"/>
                <w:color w:val="000000"/>
                <w:sz w:val="24"/>
                <w:szCs w:val="24"/>
              </w:rPr>
            </w:pPr>
            <w:r w:rsidRPr="007A4415">
              <w:rPr>
                <w:rFonts w:ascii="Arial" w:hAnsi="Arial" w:cs="Arial"/>
                <w:color w:val="000000"/>
                <w:sz w:val="24"/>
                <w:szCs w:val="24"/>
              </w:rPr>
              <w:t>Saldo devedor calculado conforme o disposto abaixo;</w:t>
            </w:r>
          </w:p>
        </w:tc>
      </w:tr>
      <w:tr w:rsidR="00C10B74" w:rsidRPr="00797A8C" w14:paraId="112281CA" w14:textId="77777777" w:rsidTr="0095505F">
        <w:trPr>
          <w:trHeight w:val="447"/>
        </w:trPr>
        <w:tc>
          <w:tcPr>
            <w:tcW w:w="1364" w:type="dxa"/>
            <w:shd w:val="clear" w:color="auto" w:fill="auto"/>
          </w:tcPr>
          <w:p w14:paraId="50C22313" w14:textId="77777777" w:rsidR="00C10B74" w:rsidRPr="00797A8C" w:rsidRDefault="00C10B74" w:rsidP="0095505F">
            <w:pPr>
              <w:jc w:val="both"/>
              <w:rPr>
                <w:rFonts w:ascii="Arial" w:hAnsi="Arial" w:cs="Arial"/>
                <w:i/>
                <w:color w:val="000000"/>
                <w:sz w:val="24"/>
                <w:szCs w:val="24"/>
              </w:rPr>
            </w:pPr>
            <w:r w:rsidRPr="00797A8C">
              <w:rPr>
                <w:rFonts w:ascii="Arial" w:hAnsi="Arial" w:cs="Arial"/>
                <w:i/>
                <w:color w:val="000000"/>
                <w:sz w:val="24"/>
                <w:szCs w:val="24"/>
              </w:rPr>
              <w:lastRenderedPageBreak/>
              <w:t>FatorJuros</w:t>
            </w:r>
          </w:p>
        </w:tc>
        <w:tc>
          <w:tcPr>
            <w:tcW w:w="462" w:type="dxa"/>
            <w:shd w:val="clear" w:color="auto" w:fill="auto"/>
          </w:tcPr>
          <w:p w14:paraId="42C867DE" w14:textId="77777777" w:rsidR="00C10B74" w:rsidRPr="00050EC3" w:rsidRDefault="00C10B74" w:rsidP="0095505F">
            <w:pPr>
              <w:jc w:val="both"/>
              <w:rPr>
                <w:rFonts w:ascii="Arial" w:hAnsi="Arial" w:cs="Arial"/>
                <w:i/>
                <w:color w:val="000000"/>
                <w:sz w:val="24"/>
                <w:szCs w:val="24"/>
              </w:rPr>
            </w:pPr>
            <w:r w:rsidRPr="00050EC3">
              <w:rPr>
                <w:rFonts w:ascii="Arial" w:hAnsi="Arial" w:cs="Arial"/>
                <w:i/>
                <w:color w:val="000000"/>
                <w:sz w:val="24"/>
                <w:szCs w:val="24"/>
              </w:rPr>
              <w:t>=</w:t>
            </w:r>
          </w:p>
        </w:tc>
        <w:tc>
          <w:tcPr>
            <w:tcW w:w="6574" w:type="dxa"/>
            <w:shd w:val="clear" w:color="auto" w:fill="auto"/>
          </w:tcPr>
          <w:p w14:paraId="1D4592EE" w14:textId="77777777" w:rsidR="00C10B74" w:rsidRPr="007A4415" w:rsidRDefault="00C10B74" w:rsidP="0095505F">
            <w:pPr>
              <w:jc w:val="both"/>
              <w:rPr>
                <w:rFonts w:ascii="Arial" w:hAnsi="Arial" w:cs="Arial"/>
                <w:i/>
                <w:color w:val="000000"/>
                <w:sz w:val="24"/>
                <w:szCs w:val="24"/>
              </w:rPr>
            </w:pPr>
            <w:r w:rsidRPr="007A4415">
              <w:rPr>
                <w:rFonts w:ascii="Arial" w:hAnsi="Arial" w:cs="Arial"/>
                <w:color w:val="000000"/>
                <w:sz w:val="24"/>
                <w:szCs w:val="24"/>
              </w:rPr>
              <w:t>fator da parcela de juros fixos apurado da seguinte forma:</w:t>
            </w:r>
          </w:p>
        </w:tc>
      </w:tr>
    </w:tbl>
    <w:p w14:paraId="73D9E73D" w14:textId="77777777" w:rsidR="00C10B74" w:rsidRPr="00797A8C" w:rsidRDefault="00C10B74" w:rsidP="00C10B74">
      <w:pPr>
        <w:ind w:left="709"/>
        <w:jc w:val="both"/>
        <w:rPr>
          <w:rFonts w:ascii="Arial" w:hAnsi="Arial" w:cs="Arial"/>
          <w:i/>
          <w:color w:val="000000"/>
          <w:sz w:val="24"/>
          <w:szCs w:val="24"/>
        </w:rPr>
      </w:pPr>
    </w:p>
    <w:p w14:paraId="09890C98" w14:textId="77777777" w:rsidR="00C10B74" w:rsidRPr="00797A8C" w:rsidRDefault="00C10B74" w:rsidP="00C10B74">
      <w:pPr>
        <w:ind w:left="2127"/>
        <w:jc w:val="both"/>
        <w:rPr>
          <w:rFonts w:ascii="Arial" w:hAnsi="Arial" w:cs="Arial"/>
          <w:i/>
          <w:color w:val="000000"/>
          <w:sz w:val="24"/>
          <w:szCs w:val="24"/>
        </w:rPr>
      </w:pPr>
      <w:r w:rsidRPr="00797A8C">
        <w:rPr>
          <w:rFonts w:ascii="Arial" w:hAnsi="Arial" w:cs="Arial"/>
          <w:i/>
          <w:noProof/>
          <w:color w:val="000000"/>
          <w:position w:val="-44"/>
          <w:sz w:val="24"/>
          <w:szCs w:val="24"/>
        </w:rPr>
        <w:drawing>
          <wp:inline distT="0" distB="0" distL="0" distR="0" wp14:anchorId="1F940DE7" wp14:editId="0DE6260C">
            <wp:extent cx="2049145" cy="584200"/>
            <wp:effectExtent l="0" t="0" r="8255" b="6350"/>
            <wp:docPr id="1455047843" name="Imagem 145504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145" cy="584200"/>
                    </a:xfrm>
                    <a:prstGeom prst="rect">
                      <a:avLst/>
                    </a:prstGeom>
                    <a:noFill/>
                    <a:ln>
                      <a:noFill/>
                    </a:ln>
                  </pic:spPr>
                </pic:pic>
              </a:graphicData>
            </a:graphic>
          </wp:inline>
        </w:drawing>
      </w:r>
    </w:p>
    <w:p w14:paraId="69B4D964" w14:textId="77777777" w:rsidR="00C10B74" w:rsidRPr="00797A8C" w:rsidRDefault="00C10B74" w:rsidP="00C10B74">
      <w:pPr>
        <w:ind w:left="2694" w:hanging="1614"/>
        <w:jc w:val="both"/>
        <w:rPr>
          <w:rFonts w:ascii="Arial" w:hAnsi="Arial" w:cs="Arial"/>
          <w:iCs/>
          <w:color w:val="000000"/>
          <w:sz w:val="24"/>
          <w:szCs w:val="24"/>
        </w:rPr>
      </w:pPr>
    </w:p>
    <w:p w14:paraId="5A04B7AE" w14:textId="77777777" w:rsidR="00C10B74" w:rsidRPr="00050EC3" w:rsidRDefault="00C10B74" w:rsidP="00C10B74">
      <w:pPr>
        <w:ind w:left="2694" w:hanging="1614"/>
        <w:jc w:val="both"/>
        <w:rPr>
          <w:rFonts w:ascii="Arial" w:hAnsi="Arial" w:cs="Arial"/>
          <w:color w:val="000000"/>
          <w:sz w:val="24"/>
          <w:szCs w:val="24"/>
        </w:rPr>
      </w:pPr>
      <w:r w:rsidRPr="00797A8C">
        <w:rPr>
          <w:rFonts w:ascii="Arial" w:hAnsi="Arial" w:cs="Arial"/>
          <w:iCs/>
          <w:color w:val="000000"/>
          <w:sz w:val="24"/>
          <w:szCs w:val="24"/>
        </w:rPr>
        <w:t>Em que</w:t>
      </w:r>
      <w:r w:rsidRPr="00050EC3">
        <w:rPr>
          <w:rFonts w:ascii="Arial" w:hAnsi="Arial" w:cs="Arial"/>
          <w:color w:val="000000"/>
          <w:sz w:val="24"/>
          <w:szCs w:val="24"/>
        </w:rPr>
        <w:t>:</w:t>
      </w:r>
    </w:p>
    <w:p w14:paraId="02076CB3" w14:textId="77777777" w:rsidR="00C10B74" w:rsidRPr="007A4415" w:rsidRDefault="00C10B74" w:rsidP="00C10B74">
      <w:pPr>
        <w:ind w:left="2127"/>
        <w:jc w:val="both"/>
        <w:rPr>
          <w:rFonts w:ascii="Arial" w:hAnsi="Arial" w:cs="Arial"/>
          <w:i/>
          <w:color w:val="000000"/>
          <w:sz w:val="24"/>
          <w:szCs w:val="24"/>
        </w:rPr>
      </w:pPr>
    </w:p>
    <w:tbl>
      <w:tblPr>
        <w:tblW w:w="84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7"/>
        <w:gridCol w:w="459"/>
        <w:gridCol w:w="6604"/>
      </w:tblGrid>
      <w:tr w:rsidR="00C10B74" w:rsidRPr="00797A8C" w14:paraId="21C41D90" w14:textId="77777777" w:rsidTr="0095505F">
        <w:tc>
          <w:tcPr>
            <w:tcW w:w="1337" w:type="dxa"/>
            <w:shd w:val="clear" w:color="auto" w:fill="auto"/>
          </w:tcPr>
          <w:p w14:paraId="71E1C460" w14:textId="77777777" w:rsidR="00C10B74" w:rsidRPr="007A4415" w:rsidRDefault="00C10B74" w:rsidP="0095505F">
            <w:pPr>
              <w:jc w:val="both"/>
              <w:rPr>
                <w:rFonts w:ascii="Arial" w:hAnsi="Arial" w:cs="Arial"/>
                <w:i/>
                <w:strike/>
                <w:color w:val="000000"/>
                <w:sz w:val="24"/>
                <w:szCs w:val="24"/>
              </w:rPr>
            </w:pPr>
            <w:r w:rsidRPr="007A4415">
              <w:rPr>
                <w:rFonts w:ascii="Arial" w:hAnsi="Arial" w:cs="Arial"/>
                <w:i/>
                <w:iCs/>
                <w:color w:val="000000"/>
                <w:sz w:val="24"/>
                <w:szCs w:val="24"/>
              </w:rPr>
              <w:t>TaxaJuros</w:t>
            </w:r>
          </w:p>
        </w:tc>
        <w:tc>
          <w:tcPr>
            <w:tcW w:w="459" w:type="dxa"/>
            <w:shd w:val="clear" w:color="auto" w:fill="auto"/>
          </w:tcPr>
          <w:p w14:paraId="7D377D4D" w14:textId="77777777" w:rsidR="00C10B74" w:rsidRPr="00F01F75" w:rsidRDefault="00C10B74" w:rsidP="0095505F">
            <w:pPr>
              <w:jc w:val="both"/>
              <w:rPr>
                <w:rFonts w:ascii="Arial" w:hAnsi="Arial" w:cs="Arial"/>
                <w:strike/>
                <w:color w:val="000000"/>
                <w:sz w:val="24"/>
                <w:szCs w:val="24"/>
              </w:rPr>
            </w:pPr>
          </w:p>
        </w:tc>
        <w:tc>
          <w:tcPr>
            <w:tcW w:w="6604" w:type="dxa"/>
            <w:shd w:val="clear" w:color="auto" w:fill="auto"/>
          </w:tcPr>
          <w:p w14:paraId="54CEEF6D" w14:textId="77777777" w:rsidR="00C10B74" w:rsidRPr="00F01F75" w:rsidRDefault="00C10B74" w:rsidP="0095505F">
            <w:pPr>
              <w:jc w:val="both"/>
              <w:rPr>
                <w:rFonts w:ascii="Arial" w:hAnsi="Arial" w:cs="Arial"/>
                <w:i/>
                <w:strike/>
                <w:color w:val="000000"/>
                <w:sz w:val="24"/>
                <w:szCs w:val="24"/>
              </w:rPr>
            </w:pPr>
            <w:r w:rsidRPr="00F01F75">
              <w:rPr>
                <w:rFonts w:ascii="Arial" w:hAnsi="Arial" w:cs="Arial"/>
                <w:color w:val="000000"/>
                <w:sz w:val="24"/>
                <w:szCs w:val="24"/>
              </w:rPr>
              <w:t>.....% (....... por cento)</w:t>
            </w:r>
          </w:p>
        </w:tc>
      </w:tr>
      <w:tr w:rsidR="00C10B74" w:rsidRPr="00797A8C" w14:paraId="73C8C7A8" w14:textId="77777777" w:rsidTr="0095505F">
        <w:tc>
          <w:tcPr>
            <w:tcW w:w="1337" w:type="dxa"/>
            <w:shd w:val="clear" w:color="auto" w:fill="auto"/>
          </w:tcPr>
          <w:p w14:paraId="7BAEE58A" w14:textId="77777777" w:rsidR="00C10B74" w:rsidRPr="00797A8C" w:rsidRDefault="00C10B74" w:rsidP="0095505F">
            <w:pPr>
              <w:jc w:val="both"/>
              <w:rPr>
                <w:rFonts w:ascii="Arial" w:hAnsi="Arial" w:cs="Arial"/>
                <w:color w:val="000000"/>
                <w:sz w:val="24"/>
                <w:szCs w:val="24"/>
              </w:rPr>
            </w:pPr>
            <w:r w:rsidRPr="00797A8C">
              <w:rPr>
                <w:rFonts w:ascii="Arial" w:hAnsi="Arial" w:cs="Arial"/>
                <w:i/>
                <w:color w:val="000000"/>
                <w:sz w:val="24"/>
                <w:szCs w:val="24"/>
              </w:rPr>
              <w:t>DP</w:t>
            </w:r>
          </w:p>
        </w:tc>
        <w:tc>
          <w:tcPr>
            <w:tcW w:w="459" w:type="dxa"/>
            <w:shd w:val="clear" w:color="auto" w:fill="auto"/>
          </w:tcPr>
          <w:p w14:paraId="7FA8E33A" w14:textId="77777777" w:rsidR="00C10B74" w:rsidRPr="00050EC3" w:rsidRDefault="00C10B74" w:rsidP="0095505F">
            <w:pPr>
              <w:jc w:val="both"/>
              <w:rPr>
                <w:rFonts w:ascii="Arial" w:hAnsi="Arial" w:cs="Arial"/>
                <w:color w:val="000000"/>
                <w:sz w:val="24"/>
                <w:szCs w:val="24"/>
              </w:rPr>
            </w:pPr>
            <w:r w:rsidRPr="00050EC3">
              <w:rPr>
                <w:rFonts w:ascii="Arial" w:hAnsi="Arial" w:cs="Arial"/>
                <w:color w:val="000000"/>
                <w:sz w:val="24"/>
                <w:szCs w:val="24"/>
              </w:rPr>
              <w:t>=</w:t>
            </w:r>
          </w:p>
        </w:tc>
        <w:tc>
          <w:tcPr>
            <w:tcW w:w="6604" w:type="dxa"/>
            <w:shd w:val="clear" w:color="auto" w:fill="auto"/>
          </w:tcPr>
          <w:p w14:paraId="0D223144" w14:textId="77777777" w:rsidR="00C10B74" w:rsidRPr="007A4415" w:rsidRDefault="00C10B74" w:rsidP="0095505F">
            <w:pPr>
              <w:jc w:val="both"/>
              <w:rPr>
                <w:rFonts w:ascii="Arial" w:hAnsi="Arial" w:cs="Arial"/>
                <w:color w:val="000000"/>
                <w:sz w:val="24"/>
                <w:szCs w:val="24"/>
              </w:rPr>
            </w:pPr>
            <w:r w:rsidRPr="007A4415">
              <w:rPr>
                <w:rFonts w:ascii="Arial" w:hAnsi="Arial" w:cs="Arial"/>
                <w:color w:val="000000"/>
                <w:sz w:val="24"/>
                <w:szCs w:val="24"/>
              </w:rPr>
              <w:t>número inteiro equivalente ao número de dias úteis entre o último evento e a data atual.</w:t>
            </w:r>
          </w:p>
        </w:tc>
      </w:tr>
    </w:tbl>
    <w:p w14:paraId="78A05C95" w14:textId="77777777" w:rsidR="00C10B74" w:rsidRPr="00B82233" w:rsidRDefault="00C10B74" w:rsidP="00C10B74">
      <w:pPr>
        <w:spacing w:before="120" w:after="120"/>
        <w:jc w:val="both"/>
        <w:rPr>
          <w:rFonts w:ascii="Arial" w:hAnsi="Arial" w:cs="Arial"/>
          <w:sz w:val="24"/>
          <w:szCs w:val="24"/>
        </w:rPr>
      </w:pPr>
    </w:p>
    <w:p w14:paraId="3B0CB757" w14:textId="77777777" w:rsidR="00C10B74" w:rsidRPr="00050EC3" w:rsidRDefault="00C10B74" w:rsidP="00C10B74">
      <w:pPr>
        <w:tabs>
          <w:tab w:val="left" w:pos="1320"/>
        </w:tabs>
        <w:spacing w:after="120"/>
        <w:ind w:left="1320" w:hanging="720"/>
        <w:jc w:val="both"/>
        <w:rPr>
          <w:rFonts w:ascii="Arial" w:hAnsi="Arial" w:cs="Arial"/>
          <w:color w:val="000000"/>
          <w:sz w:val="24"/>
          <w:szCs w:val="24"/>
        </w:rPr>
      </w:pPr>
      <w:r w:rsidRPr="00797A8C">
        <w:rPr>
          <w:rFonts w:ascii="Arial" w:hAnsi="Arial" w:cs="Arial"/>
          <w:color w:val="000000"/>
          <w:sz w:val="24"/>
          <w:szCs w:val="24"/>
        </w:rPr>
        <w:t xml:space="preserve">           O saldo devedor, aí incluídos o principal, juros compensatórios e moratórios, outras despesas, comissões e demais encargos pactuados, será calculado diariamente, capitalizando-se a variação acumulada das taxas médias diárias dos financiamentos apurados no Sistema Especial de Liquidação e de Custódia – SELIC (Taxas SELIC), divulgadas pelo Banco Central do Brasil, de acordo com a fórmula a seguir:</w:t>
      </w:r>
    </w:p>
    <w:p w14:paraId="71E25E24" w14:textId="77777777" w:rsidR="00C10B74" w:rsidRPr="007A4415" w:rsidRDefault="00C10B74" w:rsidP="00C10B74">
      <w:pPr>
        <w:tabs>
          <w:tab w:val="left" w:pos="1320"/>
        </w:tabs>
        <w:spacing w:after="120"/>
        <w:ind w:left="1320" w:hanging="720"/>
        <w:jc w:val="both"/>
        <w:rPr>
          <w:rFonts w:ascii="Arial" w:hAnsi="Arial" w:cs="Arial"/>
          <w:color w:val="000000"/>
          <w:sz w:val="24"/>
          <w:szCs w:val="24"/>
        </w:rPr>
      </w:pPr>
    </w:p>
    <w:p w14:paraId="14428D9B" w14:textId="77777777" w:rsidR="00C10B74" w:rsidRPr="00797A8C" w:rsidRDefault="00C10B74" w:rsidP="00C10B74">
      <w:pPr>
        <w:ind w:left="993" w:hanging="993"/>
        <w:jc w:val="center"/>
        <w:rPr>
          <w:rFonts w:ascii="Arial" w:hAnsi="Arial" w:cs="Arial"/>
          <w:color w:val="000000"/>
          <w:sz w:val="24"/>
          <w:szCs w:val="24"/>
        </w:rPr>
      </w:pPr>
      <w:r w:rsidRPr="00797A8C">
        <w:rPr>
          <w:rFonts w:ascii="Arial" w:hAnsi="Arial" w:cs="Arial"/>
          <w:noProof/>
          <w:color w:val="000000"/>
          <w:position w:val="-14"/>
          <w:sz w:val="24"/>
          <w:szCs w:val="24"/>
        </w:rPr>
        <w:drawing>
          <wp:inline distT="0" distB="0" distL="0" distR="0" wp14:anchorId="514E46A4" wp14:editId="42F8E8D4">
            <wp:extent cx="1633855" cy="245745"/>
            <wp:effectExtent l="0" t="0" r="4445" b="1905"/>
            <wp:docPr id="814316077" name="Imagem 81431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3855" cy="245745"/>
                    </a:xfrm>
                    <a:prstGeom prst="rect">
                      <a:avLst/>
                    </a:prstGeom>
                    <a:noFill/>
                    <a:ln>
                      <a:noFill/>
                    </a:ln>
                  </pic:spPr>
                </pic:pic>
              </a:graphicData>
            </a:graphic>
          </wp:inline>
        </w:drawing>
      </w:r>
    </w:p>
    <w:p w14:paraId="583F36F8" w14:textId="77777777" w:rsidR="00C10B74" w:rsidRPr="00797A8C" w:rsidRDefault="00C10B74" w:rsidP="00C10B74">
      <w:pPr>
        <w:ind w:left="993" w:hanging="993"/>
        <w:jc w:val="center"/>
        <w:rPr>
          <w:rFonts w:ascii="Arial" w:hAnsi="Arial" w:cs="Arial"/>
          <w:color w:val="000000"/>
          <w:sz w:val="24"/>
          <w:szCs w:val="24"/>
          <w:highlight w:val="yellow"/>
        </w:rPr>
      </w:pPr>
    </w:p>
    <w:p w14:paraId="0C2CA2C3" w14:textId="77777777" w:rsidR="00C10B74" w:rsidRPr="00050EC3" w:rsidRDefault="00C10B74" w:rsidP="00C10B74">
      <w:pPr>
        <w:ind w:left="1058"/>
        <w:jc w:val="both"/>
        <w:rPr>
          <w:rFonts w:ascii="Arial" w:hAnsi="Arial" w:cs="Arial"/>
          <w:iCs/>
          <w:color w:val="000000"/>
          <w:sz w:val="24"/>
          <w:szCs w:val="24"/>
        </w:rPr>
      </w:pPr>
      <w:r w:rsidRPr="00050EC3">
        <w:rPr>
          <w:rFonts w:ascii="Arial" w:hAnsi="Arial" w:cs="Arial"/>
          <w:iCs/>
          <w:color w:val="000000"/>
          <w:sz w:val="24"/>
          <w:szCs w:val="24"/>
        </w:rPr>
        <w:t>Em que:</w:t>
      </w:r>
    </w:p>
    <w:p w14:paraId="276CBE13" w14:textId="77777777" w:rsidR="00C10B74" w:rsidRPr="007A4415" w:rsidRDefault="00C10B74" w:rsidP="00C10B74">
      <w:pPr>
        <w:ind w:left="709"/>
        <w:jc w:val="both"/>
        <w:rPr>
          <w:rFonts w:ascii="Arial" w:hAnsi="Arial" w:cs="Arial"/>
          <w:color w:val="000000"/>
          <w:sz w:val="24"/>
          <w:szCs w:val="24"/>
          <w:highlight w:val="yellow"/>
        </w:rPr>
      </w:pPr>
    </w:p>
    <w:tbl>
      <w:tblPr>
        <w:tblW w:w="8385" w:type="dxa"/>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6"/>
        <w:gridCol w:w="465"/>
        <w:gridCol w:w="6534"/>
      </w:tblGrid>
      <w:tr w:rsidR="00C10B74" w:rsidRPr="00797A8C" w14:paraId="4570433D" w14:textId="77777777" w:rsidTr="0095505F">
        <w:tc>
          <w:tcPr>
            <w:tcW w:w="1386" w:type="dxa"/>
            <w:shd w:val="clear" w:color="auto" w:fill="auto"/>
          </w:tcPr>
          <w:p w14:paraId="11C4B154" w14:textId="77777777" w:rsidR="00C10B74" w:rsidRPr="00F01F75" w:rsidRDefault="00C10B74" w:rsidP="0095505F">
            <w:pPr>
              <w:jc w:val="both"/>
              <w:rPr>
                <w:rFonts w:ascii="Arial" w:hAnsi="Arial" w:cs="Arial"/>
                <w:i/>
                <w:iCs/>
                <w:color w:val="000000"/>
                <w:sz w:val="24"/>
                <w:szCs w:val="24"/>
              </w:rPr>
            </w:pPr>
            <w:r w:rsidRPr="007A4415">
              <w:rPr>
                <w:rFonts w:ascii="Arial" w:hAnsi="Arial" w:cs="Arial"/>
                <w:i/>
                <w:iCs/>
                <w:color w:val="000000"/>
                <w:sz w:val="24"/>
                <w:szCs w:val="24"/>
              </w:rPr>
              <w:t>Sd</w:t>
            </w:r>
            <w:r w:rsidRPr="007A4415">
              <w:rPr>
                <w:rFonts w:ascii="Arial" w:hAnsi="Arial" w:cs="Arial"/>
                <w:i/>
                <w:iCs/>
                <w:color w:val="000000"/>
                <w:sz w:val="24"/>
                <w:szCs w:val="24"/>
                <w:vertAlign w:val="subscript"/>
              </w:rPr>
              <w:t>n</w:t>
            </w:r>
          </w:p>
        </w:tc>
        <w:tc>
          <w:tcPr>
            <w:tcW w:w="465" w:type="dxa"/>
            <w:shd w:val="clear" w:color="auto" w:fill="auto"/>
          </w:tcPr>
          <w:p w14:paraId="41D38F80" w14:textId="77777777" w:rsidR="00C10B74" w:rsidRPr="00F01F75" w:rsidRDefault="00C10B74" w:rsidP="0095505F">
            <w:pPr>
              <w:jc w:val="both"/>
              <w:rPr>
                <w:rFonts w:ascii="Arial" w:hAnsi="Arial" w:cs="Arial"/>
                <w:color w:val="000000"/>
                <w:sz w:val="24"/>
                <w:szCs w:val="24"/>
              </w:rPr>
            </w:pPr>
            <w:r w:rsidRPr="00F01F75">
              <w:rPr>
                <w:rFonts w:ascii="Arial" w:hAnsi="Arial" w:cs="Arial"/>
                <w:color w:val="000000"/>
                <w:sz w:val="24"/>
                <w:szCs w:val="24"/>
              </w:rPr>
              <w:t>=</w:t>
            </w:r>
          </w:p>
        </w:tc>
        <w:tc>
          <w:tcPr>
            <w:tcW w:w="6534" w:type="dxa"/>
            <w:shd w:val="clear" w:color="auto" w:fill="auto"/>
          </w:tcPr>
          <w:p w14:paraId="6C34ECE0" w14:textId="77777777" w:rsidR="00C10B74" w:rsidRPr="00F01F75" w:rsidRDefault="00C10B74" w:rsidP="0095505F">
            <w:pPr>
              <w:jc w:val="both"/>
              <w:rPr>
                <w:rFonts w:ascii="Arial" w:hAnsi="Arial" w:cs="Arial"/>
                <w:color w:val="000000"/>
                <w:sz w:val="24"/>
                <w:szCs w:val="24"/>
              </w:rPr>
            </w:pPr>
            <w:r w:rsidRPr="00F01F75">
              <w:rPr>
                <w:rFonts w:ascii="Arial" w:hAnsi="Arial" w:cs="Arial"/>
                <w:color w:val="000000"/>
                <w:sz w:val="24"/>
                <w:szCs w:val="24"/>
              </w:rPr>
              <w:t>saldo devedor;</w:t>
            </w:r>
          </w:p>
        </w:tc>
      </w:tr>
      <w:tr w:rsidR="00C10B74" w:rsidRPr="00797A8C" w14:paraId="4D5267CF" w14:textId="77777777" w:rsidTr="0095505F">
        <w:tc>
          <w:tcPr>
            <w:tcW w:w="1386" w:type="dxa"/>
            <w:shd w:val="clear" w:color="auto" w:fill="auto"/>
          </w:tcPr>
          <w:p w14:paraId="7ED04A5B" w14:textId="77777777" w:rsidR="00C10B74" w:rsidRPr="00797A8C" w:rsidRDefault="00C10B74" w:rsidP="0095505F">
            <w:pPr>
              <w:jc w:val="both"/>
              <w:rPr>
                <w:rFonts w:ascii="Arial" w:hAnsi="Arial" w:cs="Arial"/>
                <w:i/>
                <w:iCs/>
                <w:color w:val="000000"/>
                <w:sz w:val="24"/>
                <w:szCs w:val="24"/>
              </w:rPr>
            </w:pPr>
            <w:r w:rsidRPr="00797A8C">
              <w:rPr>
                <w:rFonts w:ascii="Arial" w:hAnsi="Arial" w:cs="Arial"/>
                <w:i/>
                <w:iCs/>
                <w:color w:val="000000"/>
                <w:sz w:val="24"/>
                <w:szCs w:val="24"/>
              </w:rPr>
              <w:t>Sd</w:t>
            </w:r>
            <w:r w:rsidRPr="00797A8C">
              <w:rPr>
                <w:rFonts w:ascii="Arial" w:hAnsi="Arial" w:cs="Arial"/>
                <w:i/>
                <w:iCs/>
                <w:color w:val="000000"/>
                <w:sz w:val="24"/>
                <w:szCs w:val="24"/>
                <w:vertAlign w:val="subscript"/>
              </w:rPr>
              <w:t>n-1</w:t>
            </w:r>
          </w:p>
        </w:tc>
        <w:tc>
          <w:tcPr>
            <w:tcW w:w="465" w:type="dxa"/>
            <w:shd w:val="clear" w:color="auto" w:fill="auto"/>
          </w:tcPr>
          <w:p w14:paraId="17C1850A" w14:textId="77777777" w:rsidR="00C10B74" w:rsidRPr="00050EC3" w:rsidRDefault="00C10B74" w:rsidP="0095505F">
            <w:pPr>
              <w:jc w:val="both"/>
              <w:rPr>
                <w:rFonts w:ascii="Arial" w:hAnsi="Arial" w:cs="Arial"/>
                <w:color w:val="000000"/>
                <w:sz w:val="24"/>
                <w:szCs w:val="24"/>
              </w:rPr>
            </w:pPr>
            <w:r w:rsidRPr="00050EC3">
              <w:rPr>
                <w:rFonts w:ascii="Arial" w:hAnsi="Arial" w:cs="Arial"/>
                <w:color w:val="000000"/>
                <w:sz w:val="24"/>
                <w:szCs w:val="24"/>
              </w:rPr>
              <w:t>=</w:t>
            </w:r>
          </w:p>
        </w:tc>
        <w:tc>
          <w:tcPr>
            <w:tcW w:w="6534" w:type="dxa"/>
            <w:shd w:val="clear" w:color="auto" w:fill="auto"/>
          </w:tcPr>
          <w:p w14:paraId="76198D66" w14:textId="77777777" w:rsidR="00C10B74" w:rsidRPr="007A4415" w:rsidRDefault="00C10B74" w:rsidP="0095505F">
            <w:pPr>
              <w:jc w:val="both"/>
              <w:rPr>
                <w:rFonts w:ascii="Arial" w:hAnsi="Arial" w:cs="Arial"/>
                <w:color w:val="000000"/>
                <w:sz w:val="24"/>
                <w:szCs w:val="24"/>
              </w:rPr>
            </w:pPr>
            <w:r w:rsidRPr="007A4415">
              <w:rPr>
                <w:rFonts w:ascii="Arial" w:hAnsi="Arial" w:cs="Arial"/>
                <w:color w:val="000000"/>
                <w:sz w:val="24"/>
                <w:szCs w:val="24"/>
              </w:rPr>
              <w:t>saldo devedor no início do Período de Capitalização;</w:t>
            </w:r>
          </w:p>
        </w:tc>
      </w:tr>
      <w:tr w:rsidR="00C10B74" w:rsidRPr="00797A8C" w14:paraId="6F2E9B78" w14:textId="77777777" w:rsidTr="0095505F">
        <w:tc>
          <w:tcPr>
            <w:tcW w:w="1386" w:type="dxa"/>
            <w:shd w:val="clear" w:color="auto" w:fill="auto"/>
          </w:tcPr>
          <w:p w14:paraId="6D653D73" w14:textId="77777777" w:rsidR="00C10B74" w:rsidRPr="00797A8C" w:rsidRDefault="00C10B74" w:rsidP="0095505F">
            <w:pPr>
              <w:jc w:val="both"/>
              <w:rPr>
                <w:rFonts w:ascii="Arial" w:hAnsi="Arial" w:cs="Arial"/>
                <w:color w:val="000000"/>
                <w:sz w:val="24"/>
                <w:szCs w:val="24"/>
              </w:rPr>
            </w:pPr>
            <w:r w:rsidRPr="00797A8C">
              <w:rPr>
                <w:rFonts w:ascii="Arial" w:hAnsi="Arial" w:cs="Arial"/>
                <w:i/>
                <w:color w:val="000000"/>
                <w:sz w:val="24"/>
                <w:szCs w:val="24"/>
              </w:rPr>
              <w:t>FatorSelic</w:t>
            </w:r>
            <w:r w:rsidRPr="00797A8C">
              <w:rPr>
                <w:rFonts w:ascii="Arial" w:hAnsi="Arial" w:cs="Arial"/>
                <w:i/>
                <w:color w:val="000000"/>
                <w:sz w:val="24"/>
                <w:szCs w:val="24"/>
                <w:vertAlign w:val="subscript"/>
              </w:rPr>
              <w:t>n</w:t>
            </w:r>
          </w:p>
        </w:tc>
        <w:tc>
          <w:tcPr>
            <w:tcW w:w="465" w:type="dxa"/>
            <w:shd w:val="clear" w:color="auto" w:fill="auto"/>
          </w:tcPr>
          <w:p w14:paraId="5FF34908" w14:textId="77777777" w:rsidR="00C10B74" w:rsidRPr="00050EC3" w:rsidRDefault="00C10B74" w:rsidP="0095505F">
            <w:pPr>
              <w:jc w:val="both"/>
              <w:rPr>
                <w:rFonts w:ascii="Arial" w:hAnsi="Arial" w:cs="Arial"/>
                <w:color w:val="000000"/>
                <w:sz w:val="24"/>
                <w:szCs w:val="24"/>
              </w:rPr>
            </w:pPr>
            <w:r w:rsidRPr="00050EC3">
              <w:rPr>
                <w:rFonts w:ascii="Arial" w:hAnsi="Arial" w:cs="Arial"/>
                <w:i/>
                <w:color w:val="000000"/>
                <w:sz w:val="24"/>
                <w:szCs w:val="24"/>
              </w:rPr>
              <w:t>=</w:t>
            </w:r>
          </w:p>
        </w:tc>
        <w:tc>
          <w:tcPr>
            <w:tcW w:w="6534" w:type="dxa"/>
            <w:shd w:val="clear" w:color="auto" w:fill="auto"/>
          </w:tcPr>
          <w:p w14:paraId="1345933F" w14:textId="77777777" w:rsidR="00C10B74" w:rsidRPr="007A4415" w:rsidRDefault="00C10B74" w:rsidP="0095505F">
            <w:pPr>
              <w:jc w:val="both"/>
              <w:rPr>
                <w:rFonts w:ascii="Arial" w:hAnsi="Arial" w:cs="Arial"/>
                <w:color w:val="000000"/>
                <w:sz w:val="24"/>
                <w:szCs w:val="24"/>
              </w:rPr>
            </w:pPr>
            <w:r w:rsidRPr="007A4415">
              <w:rPr>
                <w:rFonts w:ascii="Arial" w:hAnsi="Arial" w:cs="Arial"/>
                <w:color w:val="000000"/>
                <w:sz w:val="24"/>
                <w:szCs w:val="24"/>
              </w:rPr>
              <w:t>produtório das Taxas SELIC da data de início de cada período de capitalização, inclusive, até a data de cálculo exclusive, apurado da seguinte forma:</w:t>
            </w:r>
          </w:p>
        </w:tc>
      </w:tr>
    </w:tbl>
    <w:p w14:paraId="6A0F44A6" w14:textId="77777777" w:rsidR="00C10B74" w:rsidRPr="00797A8C" w:rsidRDefault="00C10B74" w:rsidP="00C10B74">
      <w:pPr>
        <w:ind w:left="993" w:hanging="993"/>
        <w:jc w:val="center"/>
        <w:rPr>
          <w:rFonts w:ascii="Arial" w:hAnsi="Arial" w:cs="Arial"/>
          <w:color w:val="000000"/>
          <w:sz w:val="24"/>
          <w:szCs w:val="24"/>
          <w:highlight w:val="yellow"/>
        </w:rPr>
      </w:pPr>
    </w:p>
    <w:p w14:paraId="66C99075" w14:textId="77777777" w:rsidR="00C10B74" w:rsidRPr="00797A8C" w:rsidRDefault="00C10B74" w:rsidP="00C10B74">
      <w:pPr>
        <w:jc w:val="both"/>
        <w:rPr>
          <w:rFonts w:ascii="Arial" w:hAnsi="Arial" w:cs="Arial"/>
          <w:color w:val="000000"/>
          <w:sz w:val="24"/>
          <w:szCs w:val="24"/>
          <w:highlight w:val="yellow"/>
        </w:rPr>
      </w:pPr>
    </w:p>
    <w:p w14:paraId="5DB7D7E1" w14:textId="77777777" w:rsidR="00C10B74" w:rsidRPr="00797A8C" w:rsidRDefault="00C10B74" w:rsidP="00C10B74">
      <w:pPr>
        <w:ind w:left="1080"/>
        <w:jc w:val="both"/>
        <w:rPr>
          <w:rFonts w:ascii="Arial" w:hAnsi="Arial" w:cs="Arial"/>
          <w:i/>
          <w:color w:val="000000"/>
          <w:sz w:val="24"/>
          <w:szCs w:val="24"/>
        </w:rPr>
      </w:pPr>
      <w:r w:rsidRPr="00797A8C">
        <w:rPr>
          <w:rFonts w:ascii="Arial" w:hAnsi="Arial" w:cs="Arial"/>
          <w:i/>
          <w:noProof/>
          <w:color w:val="000000"/>
          <w:position w:val="-28"/>
          <w:sz w:val="24"/>
          <w:szCs w:val="24"/>
        </w:rPr>
        <w:drawing>
          <wp:inline distT="0" distB="0" distL="0" distR="0" wp14:anchorId="6208F264" wp14:editId="0C47DD51">
            <wp:extent cx="1820545" cy="465455"/>
            <wp:effectExtent l="0" t="0" r="8255" b="0"/>
            <wp:docPr id="1563598680" name="Imagem 156359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0545" cy="465455"/>
                    </a:xfrm>
                    <a:prstGeom prst="rect">
                      <a:avLst/>
                    </a:prstGeom>
                    <a:noFill/>
                    <a:ln>
                      <a:noFill/>
                    </a:ln>
                  </pic:spPr>
                </pic:pic>
              </a:graphicData>
            </a:graphic>
          </wp:inline>
        </w:drawing>
      </w:r>
    </w:p>
    <w:p w14:paraId="70E1CAD8" w14:textId="77777777" w:rsidR="00C10B74" w:rsidRPr="00797A8C" w:rsidRDefault="00C10B74" w:rsidP="00C10B74">
      <w:pPr>
        <w:ind w:left="3403" w:hanging="2323"/>
        <w:jc w:val="both"/>
        <w:rPr>
          <w:rFonts w:ascii="Arial" w:hAnsi="Arial" w:cs="Arial"/>
          <w:i/>
          <w:color w:val="000000"/>
          <w:sz w:val="24"/>
          <w:szCs w:val="24"/>
        </w:rPr>
      </w:pPr>
    </w:p>
    <w:p w14:paraId="212FC731" w14:textId="77777777" w:rsidR="00C10B74" w:rsidRPr="00050EC3" w:rsidRDefault="00C10B74" w:rsidP="00C10B74">
      <w:pPr>
        <w:ind w:left="3403" w:hanging="2323"/>
        <w:jc w:val="both"/>
        <w:rPr>
          <w:rFonts w:ascii="Arial" w:hAnsi="Arial" w:cs="Arial"/>
          <w:iCs/>
          <w:color w:val="000000"/>
          <w:sz w:val="24"/>
          <w:szCs w:val="24"/>
        </w:rPr>
      </w:pPr>
      <w:r w:rsidRPr="00050EC3">
        <w:rPr>
          <w:rFonts w:ascii="Arial" w:hAnsi="Arial" w:cs="Arial"/>
          <w:iCs/>
          <w:color w:val="000000"/>
          <w:sz w:val="24"/>
          <w:szCs w:val="24"/>
        </w:rPr>
        <w:t>Em que:</w:t>
      </w:r>
    </w:p>
    <w:p w14:paraId="40F96D0E" w14:textId="77777777" w:rsidR="00C10B74" w:rsidRPr="007A4415" w:rsidRDefault="00C10B74" w:rsidP="00C10B74">
      <w:pPr>
        <w:ind w:left="3403" w:hanging="1276"/>
        <w:jc w:val="both"/>
        <w:rPr>
          <w:rFonts w:ascii="Arial" w:hAnsi="Arial" w:cs="Arial"/>
          <w:i/>
          <w:color w:val="000000"/>
          <w:sz w:val="24"/>
          <w:szCs w:val="24"/>
        </w:rPr>
      </w:pPr>
    </w:p>
    <w:tbl>
      <w:tblPr>
        <w:tblW w:w="84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
        <w:gridCol w:w="463"/>
        <w:gridCol w:w="6974"/>
      </w:tblGrid>
      <w:tr w:rsidR="00C10B74" w:rsidRPr="00797A8C" w14:paraId="70FA0FD6" w14:textId="77777777" w:rsidTr="0095505F">
        <w:tc>
          <w:tcPr>
            <w:tcW w:w="935" w:type="dxa"/>
            <w:shd w:val="clear" w:color="auto" w:fill="auto"/>
          </w:tcPr>
          <w:p w14:paraId="3BD98C26" w14:textId="77777777" w:rsidR="00C10B74" w:rsidRPr="00F01F75" w:rsidRDefault="00C10B74" w:rsidP="0095505F">
            <w:pPr>
              <w:jc w:val="both"/>
              <w:rPr>
                <w:rFonts w:ascii="Arial" w:hAnsi="Arial" w:cs="Arial"/>
                <w:i/>
                <w:color w:val="000000"/>
                <w:sz w:val="24"/>
                <w:szCs w:val="24"/>
              </w:rPr>
            </w:pPr>
            <w:r w:rsidRPr="007A4415">
              <w:rPr>
                <w:rFonts w:ascii="Arial" w:hAnsi="Arial" w:cs="Arial"/>
                <w:i/>
                <w:color w:val="000000"/>
                <w:sz w:val="24"/>
                <w:szCs w:val="24"/>
              </w:rPr>
              <w:t>n</w:t>
            </w:r>
            <w:r w:rsidRPr="007A4415">
              <w:rPr>
                <w:rFonts w:ascii="Arial" w:hAnsi="Arial" w:cs="Arial"/>
                <w:i/>
                <w:color w:val="000000"/>
                <w:sz w:val="24"/>
                <w:szCs w:val="24"/>
                <w:vertAlign w:val="subscript"/>
              </w:rPr>
              <w:t>Seli</w:t>
            </w:r>
            <w:r w:rsidRPr="00F01F75">
              <w:rPr>
                <w:rFonts w:ascii="Arial" w:hAnsi="Arial" w:cs="Arial"/>
                <w:i/>
                <w:color w:val="000000"/>
                <w:sz w:val="24"/>
                <w:szCs w:val="24"/>
                <w:vertAlign w:val="subscript"/>
              </w:rPr>
              <w:t>c</w:t>
            </w:r>
          </w:p>
        </w:tc>
        <w:tc>
          <w:tcPr>
            <w:tcW w:w="464" w:type="dxa"/>
            <w:shd w:val="clear" w:color="auto" w:fill="auto"/>
          </w:tcPr>
          <w:p w14:paraId="23E27462" w14:textId="77777777" w:rsidR="00C10B74" w:rsidRPr="00F01F75" w:rsidRDefault="00C10B74" w:rsidP="0095505F">
            <w:pPr>
              <w:jc w:val="both"/>
              <w:rPr>
                <w:rFonts w:ascii="Arial" w:hAnsi="Arial" w:cs="Arial"/>
                <w:i/>
                <w:color w:val="000000"/>
                <w:sz w:val="24"/>
                <w:szCs w:val="24"/>
              </w:rPr>
            </w:pPr>
            <w:r w:rsidRPr="00F01F75">
              <w:rPr>
                <w:rFonts w:ascii="Arial" w:hAnsi="Arial" w:cs="Arial"/>
                <w:i/>
                <w:color w:val="000000"/>
                <w:sz w:val="24"/>
                <w:szCs w:val="24"/>
              </w:rPr>
              <w:t>=</w:t>
            </w:r>
          </w:p>
        </w:tc>
        <w:tc>
          <w:tcPr>
            <w:tcW w:w="7001" w:type="dxa"/>
            <w:shd w:val="clear" w:color="auto" w:fill="auto"/>
          </w:tcPr>
          <w:p w14:paraId="4197A0A1" w14:textId="77777777" w:rsidR="00C10B74" w:rsidRPr="00F01F75" w:rsidRDefault="00C10B74" w:rsidP="0095505F">
            <w:pPr>
              <w:jc w:val="both"/>
              <w:rPr>
                <w:rFonts w:ascii="Arial" w:hAnsi="Arial" w:cs="Arial"/>
                <w:color w:val="000000"/>
                <w:sz w:val="24"/>
                <w:szCs w:val="24"/>
              </w:rPr>
            </w:pPr>
            <w:r w:rsidRPr="00F01F75">
              <w:rPr>
                <w:rFonts w:ascii="Arial" w:hAnsi="Arial" w:cs="Arial"/>
                <w:color w:val="000000"/>
                <w:sz w:val="24"/>
                <w:szCs w:val="24"/>
              </w:rPr>
              <w:t>número inteiro equivalente ao número total de Taxas SELIC;</w:t>
            </w:r>
          </w:p>
        </w:tc>
      </w:tr>
      <w:tr w:rsidR="00C10B74" w:rsidRPr="00797A8C" w14:paraId="0E32A567" w14:textId="77777777" w:rsidTr="0095505F">
        <w:tc>
          <w:tcPr>
            <w:tcW w:w="935" w:type="dxa"/>
            <w:shd w:val="clear" w:color="auto" w:fill="auto"/>
          </w:tcPr>
          <w:p w14:paraId="443E6C4B" w14:textId="77777777" w:rsidR="00C10B74" w:rsidRPr="00797A8C" w:rsidRDefault="00C10B74" w:rsidP="0095505F">
            <w:pPr>
              <w:jc w:val="both"/>
              <w:rPr>
                <w:rFonts w:ascii="Arial" w:hAnsi="Arial" w:cs="Arial"/>
                <w:i/>
                <w:color w:val="000000"/>
                <w:sz w:val="24"/>
                <w:szCs w:val="24"/>
              </w:rPr>
            </w:pPr>
            <w:r w:rsidRPr="00797A8C">
              <w:rPr>
                <w:rFonts w:ascii="Arial" w:hAnsi="Arial" w:cs="Arial"/>
                <w:i/>
                <w:color w:val="000000"/>
                <w:sz w:val="24"/>
                <w:szCs w:val="24"/>
              </w:rPr>
              <w:t>TSelic</w:t>
            </w:r>
            <w:r w:rsidRPr="00797A8C">
              <w:rPr>
                <w:rFonts w:ascii="Arial" w:hAnsi="Arial" w:cs="Arial"/>
                <w:i/>
                <w:color w:val="000000"/>
                <w:sz w:val="24"/>
                <w:szCs w:val="24"/>
                <w:vertAlign w:val="subscript"/>
              </w:rPr>
              <w:t>k</w:t>
            </w:r>
          </w:p>
        </w:tc>
        <w:tc>
          <w:tcPr>
            <w:tcW w:w="464" w:type="dxa"/>
            <w:shd w:val="clear" w:color="auto" w:fill="auto"/>
          </w:tcPr>
          <w:p w14:paraId="29CD5449" w14:textId="77777777" w:rsidR="00C10B74" w:rsidRPr="00050EC3" w:rsidRDefault="00C10B74" w:rsidP="0095505F">
            <w:pPr>
              <w:jc w:val="both"/>
              <w:rPr>
                <w:rFonts w:ascii="Arial" w:hAnsi="Arial" w:cs="Arial"/>
                <w:i/>
                <w:color w:val="000000"/>
                <w:sz w:val="24"/>
                <w:szCs w:val="24"/>
              </w:rPr>
            </w:pPr>
            <w:r w:rsidRPr="00050EC3">
              <w:rPr>
                <w:rFonts w:ascii="Arial" w:hAnsi="Arial" w:cs="Arial"/>
                <w:i/>
                <w:color w:val="000000"/>
                <w:sz w:val="24"/>
                <w:szCs w:val="24"/>
              </w:rPr>
              <w:t>=</w:t>
            </w:r>
          </w:p>
        </w:tc>
        <w:tc>
          <w:tcPr>
            <w:tcW w:w="7001" w:type="dxa"/>
            <w:shd w:val="clear" w:color="auto" w:fill="auto"/>
          </w:tcPr>
          <w:p w14:paraId="45274298" w14:textId="77777777" w:rsidR="00C10B74" w:rsidRPr="00B82233" w:rsidRDefault="00C10B74" w:rsidP="0095505F">
            <w:pPr>
              <w:jc w:val="both"/>
              <w:rPr>
                <w:rFonts w:ascii="Arial" w:hAnsi="Arial" w:cs="Arial"/>
                <w:color w:val="000000"/>
                <w:sz w:val="24"/>
                <w:szCs w:val="24"/>
              </w:rPr>
            </w:pPr>
            <w:r w:rsidRPr="007A4415">
              <w:rPr>
                <w:rFonts w:ascii="Arial" w:hAnsi="Arial" w:cs="Arial"/>
                <w:color w:val="000000"/>
                <w:sz w:val="24"/>
                <w:szCs w:val="24"/>
              </w:rPr>
              <w:t xml:space="preserve"> Taxa SELIC, defasada de 2 (dois) dias úteis em relação ao dia “k”, expressa ao dia,</w:t>
            </w:r>
            <w:r w:rsidRPr="007A4415" w:rsidDel="00C3495E">
              <w:rPr>
                <w:rFonts w:ascii="Arial" w:hAnsi="Arial" w:cs="Arial"/>
                <w:color w:val="000000"/>
                <w:sz w:val="24"/>
                <w:szCs w:val="24"/>
              </w:rPr>
              <w:t xml:space="preserve"> </w:t>
            </w:r>
            <w:r w:rsidRPr="007A4415">
              <w:rPr>
                <w:rFonts w:ascii="Arial" w:hAnsi="Arial" w:cs="Arial"/>
                <w:color w:val="000000"/>
                <w:sz w:val="24"/>
                <w:szCs w:val="24"/>
              </w:rPr>
              <w:t>apurada da seguinte forma:</w:t>
            </w:r>
          </w:p>
        </w:tc>
      </w:tr>
    </w:tbl>
    <w:p w14:paraId="48000E46" w14:textId="77777777" w:rsidR="00C10B74" w:rsidRPr="00797A8C" w:rsidRDefault="00C10B74" w:rsidP="00C10B74">
      <w:pPr>
        <w:ind w:left="2833"/>
        <w:jc w:val="both"/>
        <w:rPr>
          <w:rFonts w:ascii="Arial" w:hAnsi="Arial" w:cs="Arial"/>
          <w:i/>
          <w:color w:val="000000"/>
          <w:sz w:val="24"/>
          <w:szCs w:val="24"/>
          <w:highlight w:val="yellow"/>
        </w:rPr>
      </w:pPr>
    </w:p>
    <w:p w14:paraId="45307390" w14:textId="77777777" w:rsidR="00C10B74" w:rsidRPr="00797A8C" w:rsidRDefault="00C10B74" w:rsidP="00C10B74">
      <w:pPr>
        <w:ind w:left="1134"/>
        <w:jc w:val="both"/>
        <w:rPr>
          <w:rFonts w:ascii="Arial" w:hAnsi="Arial" w:cs="Arial"/>
          <w:color w:val="000000"/>
          <w:sz w:val="24"/>
          <w:szCs w:val="24"/>
        </w:rPr>
      </w:pPr>
      <w:r w:rsidRPr="00797A8C">
        <w:rPr>
          <w:rFonts w:ascii="Arial" w:hAnsi="Arial" w:cs="Arial"/>
          <w:i/>
          <w:noProof/>
          <w:color w:val="000000"/>
          <w:position w:val="-46"/>
          <w:sz w:val="24"/>
          <w:szCs w:val="24"/>
        </w:rPr>
        <w:drawing>
          <wp:inline distT="0" distB="0" distL="0" distR="0" wp14:anchorId="3C0230FC" wp14:editId="3B1E151B">
            <wp:extent cx="1955800" cy="652145"/>
            <wp:effectExtent l="0" t="0" r="6350" b="0"/>
            <wp:docPr id="404115708" name="Imagem 40411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5800" cy="652145"/>
                    </a:xfrm>
                    <a:prstGeom prst="rect">
                      <a:avLst/>
                    </a:prstGeom>
                    <a:noFill/>
                    <a:ln>
                      <a:noFill/>
                    </a:ln>
                  </pic:spPr>
                </pic:pic>
              </a:graphicData>
            </a:graphic>
          </wp:inline>
        </w:drawing>
      </w:r>
    </w:p>
    <w:p w14:paraId="6ECE36DF" w14:textId="77777777" w:rsidR="00C10B74" w:rsidRPr="00797A8C" w:rsidRDefault="00C10B74" w:rsidP="00C10B74">
      <w:pPr>
        <w:ind w:left="1080"/>
        <w:jc w:val="both"/>
        <w:rPr>
          <w:rFonts w:ascii="Arial" w:hAnsi="Arial" w:cs="Arial"/>
          <w:iCs/>
          <w:color w:val="000000"/>
          <w:sz w:val="24"/>
          <w:szCs w:val="24"/>
        </w:rPr>
      </w:pPr>
      <w:r w:rsidRPr="00797A8C">
        <w:rPr>
          <w:rFonts w:ascii="Arial" w:hAnsi="Arial" w:cs="Arial"/>
          <w:iCs/>
          <w:color w:val="000000"/>
          <w:sz w:val="24"/>
          <w:szCs w:val="24"/>
        </w:rPr>
        <w:t>Em que:</w:t>
      </w:r>
    </w:p>
    <w:p w14:paraId="781C07DD" w14:textId="77777777" w:rsidR="00C10B74" w:rsidRPr="00050EC3" w:rsidRDefault="00C10B74" w:rsidP="00C10B74">
      <w:pPr>
        <w:ind w:left="2833"/>
        <w:jc w:val="both"/>
        <w:rPr>
          <w:rFonts w:ascii="Arial" w:hAnsi="Arial" w:cs="Arial"/>
          <w:i/>
          <w:color w:val="000000"/>
          <w:sz w:val="24"/>
          <w:szCs w:val="24"/>
          <w:highlight w:val="yellow"/>
        </w:rPr>
      </w:pPr>
    </w:p>
    <w:tbl>
      <w:tblPr>
        <w:tblW w:w="840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3"/>
        <w:gridCol w:w="464"/>
        <w:gridCol w:w="6833"/>
      </w:tblGrid>
      <w:tr w:rsidR="00C10B74" w:rsidRPr="00797A8C" w14:paraId="5B908B0D" w14:textId="77777777" w:rsidTr="0095505F">
        <w:tc>
          <w:tcPr>
            <w:tcW w:w="1103" w:type="dxa"/>
            <w:shd w:val="clear" w:color="auto" w:fill="auto"/>
          </w:tcPr>
          <w:p w14:paraId="6666970E" w14:textId="77777777" w:rsidR="00C10B74" w:rsidRPr="007A4415" w:rsidRDefault="00C10B74" w:rsidP="0095505F">
            <w:pPr>
              <w:jc w:val="both"/>
              <w:rPr>
                <w:rFonts w:ascii="Arial" w:hAnsi="Arial" w:cs="Arial"/>
                <w:i/>
                <w:color w:val="000000"/>
                <w:sz w:val="24"/>
                <w:szCs w:val="24"/>
              </w:rPr>
            </w:pPr>
            <w:r w:rsidRPr="007A4415">
              <w:rPr>
                <w:rFonts w:ascii="Arial" w:hAnsi="Arial" w:cs="Arial"/>
                <w:i/>
                <w:color w:val="000000"/>
                <w:sz w:val="24"/>
                <w:szCs w:val="24"/>
              </w:rPr>
              <w:t>k</w:t>
            </w:r>
          </w:p>
        </w:tc>
        <w:tc>
          <w:tcPr>
            <w:tcW w:w="464" w:type="dxa"/>
            <w:shd w:val="clear" w:color="auto" w:fill="auto"/>
          </w:tcPr>
          <w:p w14:paraId="08BDD1FA" w14:textId="77777777" w:rsidR="00C10B74" w:rsidRPr="007A4415" w:rsidRDefault="00C10B74" w:rsidP="0095505F">
            <w:pPr>
              <w:jc w:val="both"/>
              <w:rPr>
                <w:rFonts w:ascii="Arial" w:hAnsi="Arial" w:cs="Arial"/>
                <w:i/>
                <w:color w:val="000000"/>
                <w:sz w:val="24"/>
                <w:szCs w:val="24"/>
              </w:rPr>
            </w:pPr>
            <w:r w:rsidRPr="007A4415">
              <w:rPr>
                <w:rFonts w:ascii="Arial" w:hAnsi="Arial" w:cs="Arial"/>
                <w:i/>
                <w:color w:val="000000"/>
                <w:sz w:val="24"/>
                <w:szCs w:val="24"/>
              </w:rPr>
              <w:t>=</w:t>
            </w:r>
          </w:p>
        </w:tc>
        <w:tc>
          <w:tcPr>
            <w:tcW w:w="6833" w:type="dxa"/>
            <w:shd w:val="clear" w:color="auto" w:fill="auto"/>
          </w:tcPr>
          <w:p w14:paraId="752D07C8" w14:textId="77777777" w:rsidR="00C10B74" w:rsidRPr="007A4415" w:rsidRDefault="00C10B74" w:rsidP="0095505F">
            <w:pPr>
              <w:jc w:val="both"/>
              <w:rPr>
                <w:rFonts w:ascii="Arial" w:hAnsi="Arial" w:cs="Arial"/>
                <w:color w:val="000000"/>
                <w:sz w:val="24"/>
                <w:szCs w:val="24"/>
              </w:rPr>
            </w:pPr>
            <w:r w:rsidRPr="007A4415">
              <w:rPr>
                <w:rFonts w:ascii="Arial" w:hAnsi="Arial" w:cs="Arial"/>
                <w:color w:val="000000"/>
                <w:sz w:val="24"/>
                <w:szCs w:val="24"/>
              </w:rPr>
              <w:t>número inteiro equivalente ao dia (1, 2, ..., n);</w:t>
            </w:r>
          </w:p>
        </w:tc>
      </w:tr>
      <w:tr w:rsidR="00C10B74" w:rsidRPr="00797A8C" w14:paraId="0F7A8D03" w14:textId="77777777" w:rsidTr="0095505F">
        <w:tc>
          <w:tcPr>
            <w:tcW w:w="1103" w:type="dxa"/>
            <w:shd w:val="clear" w:color="auto" w:fill="auto"/>
          </w:tcPr>
          <w:p w14:paraId="53335441" w14:textId="77777777" w:rsidR="00C10B74" w:rsidRPr="00797A8C" w:rsidRDefault="00C10B74" w:rsidP="0095505F">
            <w:pPr>
              <w:jc w:val="both"/>
              <w:rPr>
                <w:rFonts w:ascii="Arial" w:hAnsi="Arial" w:cs="Arial"/>
                <w:i/>
                <w:color w:val="000000"/>
                <w:sz w:val="24"/>
                <w:szCs w:val="24"/>
              </w:rPr>
            </w:pPr>
            <w:r w:rsidRPr="00797A8C">
              <w:rPr>
                <w:rFonts w:ascii="Arial" w:hAnsi="Arial" w:cs="Arial"/>
                <w:i/>
                <w:color w:val="000000"/>
                <w:sz w:val="24"/>
                <w:szCs w:val="24"/>
              </w:rPr>
              <w:lastRenderedPageBreak/>
              <w:t>Selic</w:t>
            </w:r>
            <w:r w:rsidRPr="00797A8C">
              <w:rPr>
                <w:rFonts w:ascii="Arial" w:hAnsi="Arial" w:cs="Arial"/>
                <w:i/>
                <w:color w:val="000000"/>
                <w:sz w:val="24"/>
                <w:szCs w:val="24"/>
                <w:vertAlign w:val="subscript"/>
              </w:rPr>
              <w:t>k</w:t>
            </w:r>
          </w:p>
        </w:tc>
        <w:tc>
          <w:tcPr>
            <w:tcW w:w="464" w:type="dxa"/>
            <w:shd w:val="clear" w:color="auto" w:fill="auto"/>
          </w:tcPr>
          <w:p w14:paraId="733415FB" w14:textId="77777777" w:rsidR="00C10B74" w:rsidRPr="00050EC3" w:rsidRDefault="00C10B74" w:rsidP="0095505F">
            <w:pPr>
              <w:jc w:val="both"/>
              <w:rPr>
                <w:rFonts w:ascii="Arial" w:hAnsi="Arial" w:cs="Arial"/>
                <w:i/>
                <w:color w:val="000000"/>
                <w:sz w:val="24"/>
                <w:szCs w:val="24"/>
              </w:rPr>
            </w:pPr>
            <w:r w:rsidRPr="00050EC3">
              <w:rPr>
                <w:rFonts w:ascii="Arial" w:hAnsi="Arial" w:cs="Arial"/>
                <w:i/>
                <w:color w:val="000000"/>
                <w:sz w:val="24"/>
                <w:szCs w:val="24"/>
              </w:rPr>
              <w:t>=</w:t>
            </w:r>
          </w:p>
        </w:tc>
        <w:tc>
          <w:tcPr>
            <w:tcW w:w="6833" w:type="dxa"/>
            <w:shd w:val="clear" w:color="auto" w:fill="auto"/>
          </w:tcPr>
          <w:p w14:paraId="303C2C41" w14:textId="77777777" w:rsidR="00C10B74" w:rsidRPr="00B82233" w:rsidRDefault="00C10B74" w:rsidP="0095505F">
            <w:pPr>
              <w:jc w:val="both"/>
              <w:rPr>
                <w:rFonts w:ascii="Arial" w:hAnsi="Arial" w:cs="Arial"/>
                <w:color w:val="000000"/>
                <w:sz w:val="24"/>
                <w:szCs w:val="24"/>
              </w:rPr>
            </w:pPr>
            <w:r w:rsidRPr="007A4415">
              <w:rPr>
                <w:rFonts w:ascii="Arial" w:hAnsi="Arial" w:cs="Arial"/>
                <w:color w:val="000000"/>
                <w:sz w:val="24"/>
                <w:szCs w:val="24"/>
              </w:rPr>
              <w:t>Taxa SELIC, expressa ao ano (base de 252 dias úteis), defasada de 2 (dois) dias úteis em relação ao dia “k”; divulgada pelo Banco Central do Brasil;</w:t>
            </w:r>
          </w:p>
        </w:tc>
      </w:tr>
    </w:tbl>
    <w:p w14:paraId="6B8065EF" w14:textId="77777777" w:rsidR="00C10B74" w:rsidRPr="00797A8C" w:rsidRDefault="00C10B74" w:rsidP="00C10B74">
      <w:pPr>
        <w:tabs>
          <w:tab w:val="left" w:pos="1320"/>
        </w:tabs>
        <w:spacing w:after="120"/>
        <w:ind w:left="1320" w:hanging="720"/>
        <w:jc w:val="both"/>
        <w:rPr>
          <w:rFonts w:ascii="Arial" w:hAnsi="Arial" w:cs="Arial"/>
          <w:color w:val="000000"/>
          <w:sz w:val="24"/>
          <w:szCs w:val="24"/>
        </w:rPr>
      </w:pPr>
    </w:p>
    <w:p w14:paraId="37D3645B" w14:textId="77777777" w:rsidR="00C10B74" w:rsidRPr="007A4415" w:rsidRDefault="00C10B74" w:rsidP="00C10B74">
      <w:pPr>
        <w:tabs>
          <w:tab w:val="left" w:pos="1320"/>
        </w:tabs>
        <w:spacing w:after="120"/>
        <w:ind w:left="1320" w:hanging="720"/>
        <w:jc w:val="both"/>
        <w:rPr>
          <w:rFonts w:ascii="Arial" w:hAnsi="Arial" w:cs="Arial"/>
          <w:color w:val="000000"/>
          <w:sz w:val="24"/>
          <w:szCs w:val="24"/>
        </w:rPr>
      </w:pPr>
      <w:r w:rsidRPr="00797A8C">
        <w:rPr>
          <w:rFonts w:ascii="Arial" w:hAnsi="Arial" w:cs="Arial"/>
          <w:color w:val="000000"/>
          <w:sz w:val="24"/>
          <w:szCs w:val="24"/>
        </w:rPr>
        <w:t xml:space="preserve">           Define-se "Período de Capitalização" como sendo o intervalo de tempo que se inicia na data da primeira liberação do crédito, no caso do primeiro período, ou na data prevista do pagamento dos juros imediatamente anterior, no caso dos demais, e te</w:t>
      </w:r>
      <w:r w:rsidRPr="00050EC3">
        <w:rPr>
          <w:rFonts w:ascii="Arial" w:hAnsi="Arial" w:cs="Arial"/>
          <w:color w:val="000000"/>
          <w:sz w:val="24"/>
          <w:szCs w:val="24"/>
        </w:rPr>
        <w:t xml:space="preserve">rmina na data prevista do pagamento de juros correspondente ao período, sendo que cada Período de </w:t>
      </w:r>
      <w:r w:rsidRPr="007A4415">
        <w:rPr>
          <w:rFonts w:ascii="Arial" w:hAnsi="Arial" w:cs="Arial"/>
          <w:color w:val="000000"/>
          <w:sz w:val="24"/>
          <w:szCs w:val="24"/>
        </w:rPr>
        <w:t>Capitalização sucede o anterior sem solução de continuidade.</w:t>
      </w:r>
    </w:p>
    <w:p w14:paraId="43BDCB81" w14:textId="77777777" w:rsidR="00C10B74" w:rsidRPr="00F01F75" w:rsidRDefault="00C10B74" w:rsidP="00C10B74">
      <w:pPr>
        <w:tabs>
          <w:tab w:val="left" w:pos="1320"/>
        </w:tabs>
        <w:spacing w:after="120"/>
        <w:ind w:left="1320" w:hanging="720"/>
        <w:jc w:val="both"/>
        <w:rPr>
          <w:rFonts w:ascii="Arial" w:hAnsi="Arial" w:cs="Arial"/>
          <w:color w:val="000000"/>
          <w:sz w:val="24"/>
          <w:szCs w:val="24"/>
        </w:rPr>
      </w:pPr>
      <w:r w:rsidRPr="007A4415">
        <w:rPr>
          <w:rFonts w:ascii="Arial" w:hAnsi="Arial" w:cs="Arial"/>
          <w:color w:val="000000"/>
          <w:sz w:val="24"/>
          <w:szCs w:val="24"/>
        </w:rPr>
        <w:t xml:space="preserve">           A Taxa SELIC deverá ser utilizada considerando idêntico número de casas decimais divulgado pelo órgão responsável pelo seu cálculo</w:t>
      </w:r>
      <w:r w:rsidRPr="00F01F75">
        <w:rPr>
          <w:rFonts w:ascii="Arial" w:hAnsi="Arial" w:cs="Arial"/>
          <w:color w:val="000000"/>
          <w:sz w:val="24"/>
          <w:szCs w:val="24"/>
        </w:rPr>
        <w:t>.</w:t>
      </w:r>
    </w:p>
    <w:p w14:paraId="6334E289" w14:textId="77777777" w:rsidR="00C10B74" w:rsidRPr="00F01F75" w:rsidRDefault="00C10B74" w:rsidP="00C10B74">
      <w:pPr>
        <w:tabs>
          <w:tab w:val="left" w:pos="1320"/>
        </w:tabs>
        <w:spacing w:after="120"/>
        <w:ind w:left="1320" w:hanging="720"/>
        <w:jc w:val="both"/>
        <w:rPr>
          <w:rFonts w:ascii="Arial" w:hAnsi="Arial" w:cs="Arial"/>
          <w:color w:val="000000"/>
          <w:sz w:val="24"/>
          <w:szCs w:val="24"/>
        </w:rPr>
      </w:pPr>
      <w:r w:rsidRPr="00F01F75">
        <w:rPr>
          <w:rFonts w:ascii="Arial" w:hAnsi="Arial" w:cs="Arial"/>
          <w:color w:val="000000"/>
          <w:sz w:val="24"/>
          <w:szCs w:val="24"/>
        </w:rPr>
        <w:t xml:space="preserve">           No caso de indisponibilidade temporária da Taxa SELIC quando do pagamento de qualquer obrigação pecuniária prevista no Contrato, será utilizada a última Taxa SELIC conhecida até a data do cálculo, não sendo devidas quaisquer compensações financeiras tanto pelo credor quanto pelo devedor, quando da divulgação posterior da Taxa SELIC, observado o disposto no parágrafo abaixo.</w:t>
      </w:r>
    </w:p>
    <w:p w14:paraId="7EE39754" w14:textId="77777777" w:rsidR="00C10B74" w:rsidRPr="00797A8C" w:rsidRDefault="00C10B74" w:rsidP="00C10B74">
      <w:pPr>
        <w:tabs>
          <w:tab w:val="left" w:pos="1320"/>
        </w:tabs>
        <w:spacing w:after="120"/>
        <w:ind w:left="1320" w:hanging="720"/>
        <w:jc w:val="both"/>
        <w:rPr>
          <w:rFonts w:ascii="Arial" w:hAnsi="Arial" w:cs="Arial"/>
          <w:color w:val="000000"/>
          <w:sz w:val="24"/>
          <w:szCs w:val="24"/>
        </w:rPr>
      </w:pPr>
      <w:r w:rsidRPr="00F01F75">
        <w:rPr>
          <w:rFonts w:ascii="Arial" w:hAnsi="Arial" w:cs="Arial"/>
          <w:color w:val="000000"/>
          <w:sz w:val="24"/>
          <w:szCs w:val="24"/>
        </w:rPr>
        <w:t xml:space="preserve">           Na hipótese de indisponibilidade da Taxa SELIC, a que se refere o parágrafo anterior, por período superior a 60 (sessenta) dias ou de extinção da Taxa SELIC, pela s</w:t>
      </w:r>
      <w:r w:rsidRPr="00295C28">
        <w:rPr>
          <w:rFonts w:ascii="Arial" w:hAnsi="Arial" w:cs="Arial"/>
          <w:color w:val="000000"/>
          <w:sz w:val="24"/>
          <w:szCs w:val="24"/>
        </w:rPr>
        <w:t xml:space="preserve">uperveniência de normas legais ou regulamentares, ou alteração dos critérios de sua aplicação, o Sistema BNDES escolherá um índice substituto que melhor preserve o valor real da operação e a remunere nos mesmos níveis anteriores. </w:t>
      </w:r>
      <w:r w:rsidRPr="00B82233">
        <w:rPr>
          <w:rFonts w:ascii="Arial" w:hAnsi="Arial" w:cs="Arial"/>
          <w:sz w:val="24"/>
          <w:szCs w:val="24"/>
        </w:rPr>
        <w:t xml:space="preserve">Nesse caso, o </w:t>
      </w:r>
      <w:r>
        <w:rPr>
          <w:rFonts w:ascii="Arial" w:hAnsi="Arial" w:cs="Arial"/>
          <w:sz w:val="24"/>
          <w:szCs w:val="24"/>
        </w:rPr>
        <w:t xml:space="preserve">Sistema </w:t>
      </w:r>
      <w:r w:rsidRPr="00B82233">
        <w:rPr>
          <w:rFonts w:ascii="Arial" w:hAnsi="Arial" w:cs="Arial"/>
          <w:sz w:val="24"/>
          <w:szCs w:val="24"/>
        </w:rPr>
        <w:t xml:space="preserve">BNDES comunicará a alteração por escrito à INSTITUIÇÃO FINANCEIRA CREDENCIADA que deverá igualmente comunicar a alteração por escrito, </w:t>
      </w:r>
      <w:r>
        <w:rPr>
          <w:rFonts w:ascii="Arial" w:hAnsi="Arial" w:cs="Arial"/>
          <w:sz w:val="24"/>
          <w:szCs w:val="24"/>
        </w:rPr>
        <w:t>ao</w:t>
      </w:r>
      <w:r w:rsidRPr="00B82233">
        <w:rPr>
          <w:rFonts w:ascii="Arial" w:hAnsi="Arial" w:cs="Arial"/>
          <w:sz w:val="24"/>
          <w:szCs w:val="24"/>
        </w:rPr>
        <w:t xml:space="preserve"> </w:t>
      </w:r>
      <w:r>
        <w:rPr>
          <w:rFonts w:ascii="Arial" w:hAnsi="Arial" w:cs="Arial"/>
          <w:sz w:val="24"/>
          <w:szCs w:val="24"/>
        </w:rPr>
        <w:t>CLIENTE</w:t>
      </w:r>
      <w:r w:rsidRPr="00797A8C">
        <w:rPr>
          <w:rFonts w:ascii="Arial" w:hAnsi="Arial" w:cs="Arial"/>
          <w:color w:val="000000"/>
          <w:sz w:val="24"/>
          <w:szCs w:val="24"/>
        </w:rPr>
        <w:t xml:space="preserve">. </w:t>
      </w:r>
    </w:p>
    <w:p w14:paraId="7C31717D" w14:textId="77777777" w:rsidR="00C10B74" w:rsidRPr="00295C28" w:rsidRDefault="00C10B74" w:rsidP="00C10B74">
      <w:pPr>
        <w:tabs>
          <w:tab w:val="left" w:pos="1320"/>
        </w:tabs>
        <w:spacing w:after="120"/>
        <w:ind w:left="1320" w:hanging="720"/>
        <w:jc w:val="both"/>
        <w:rPr>
          <w:rFonts w:ascii="Arial" w:hAnsi="Arial" w:cs="Arial"/>
          <w:color w:val="000000"/>
          <w:sz w:val="24"/>
          <w:szCs w:val="24"/>
        </w:rPr>
      </w:pPr>
      <w:r w:rsidRPr="00050EC3">
        <w:rPr>
          <w:rFonts w:ascii="Arial" w:hAnsi="Arial" w:cs="Arial"/>
          <w:color w:val="000000"/>
          <w:sz w:val="24"/>
          <w:szCs w:val="24"/>
        </w:rPr>
        <w:t xml:space="preserve">           O montante apurado, nos termos da Cláusula de Juros, será exigível ................ [trimestral</w:t>
      </w:r>
      <w:r w:rsidRPr="007A4415">
        <w:rPr>
          <w:rFonts w:ascii="Arial" w:hAnsi="Arial" w:cs="Arial"/>
          <w:color w:val="000000"/>
          <w:sz w:val="24"/>
          <w:szCs w:val="24"/>
        </w:rPr>
        <w:t>/semestral/anualmente], durante o prazo de carência, e ................ [mensal/semestral/anualmente], durante o período de amortização, juntamente com as parcelas de amortização do principal e no vencimento ou liquidação do Contrato, observado o disposto n</w:t>
      </w:r>
      <w:r>
        <w:rPr>
          <w:rFonts w:ascii="Arial" w:hAnsi="Arial" w:cs="Arial"/>
          <w:color w:val="000000"/>
          <w:sz w:val="24"/>
          <w:szCs w:val="24"/>
        </w:rPr>
        <w:t>a</w:t>
      </w:r>
      <w:r w:rsidRPr="007A4415">
        <w:rPr>
          <w:rFonts w:ascii="Arial" w:hAnsi="Arial" w:cs="Arial"/>
          <w:color w:val="000000"/>
          <w:sz w:val="24"/>
          <w:szCs w:val="24"/>
        </w:rPr>
        <w:t xml:space="preserve"> </w:t>
      </w:r>
      <w:r>
        <w:rPr>
          <w:rFonts w:ascii="Arial" w:hAnsi="Arial" w:cs="Arial"/>
          <w:color w:val="000000"/>
          <w:sz w:val="24"/>
          <w:szCs w:val="24"/>
        </w:rPr>
        <w:t>Cláusula</w:t>
      </w:r>
      <w:r w:rsidRPr="00F01F75">
        <w:rPr>
          <w:rFonts w:ascii="Arial" w:hAnsi="Arial" w:cs="Arial"/>
          <w:color w:val="000000"/>
          <w:sz w:val="24"/>
          <w:szCs w:val="24"/>
        </w:rPr>
        <w:t xml:space="preserve"> “VENCIMENTO EM DIAS FERIADOS</w:t>
      </w:r>
      <w:r w:rsidRPr="00295C28">
        <w:rPr>
          <w:rFonts w:ascii="Arial" w:hAnsi="Arial" w:cs="Arial"/>
          <w:color w:val="000000"/>
          <w:sz w:val="24"/>
          <w:szCs w:val="24"/>
        </w:rPr>
        <w:t>”.</w:t>
      </w:r>
    </w:p>
    <w:p w14:paraId="0FDBD1E8" w14:textId="77777777" w:rsidR="00C10B74" w:rsidRPr="00B82233" w:rsidRDefault="00C10B74" w:rsidP="00C10B74">
      <w:pPr>
        <w:jc w:val="both"/>
        <w:rPr>
          <w:rFonts w:ascii="Arial" w:hAnsi="Arial" w:cs="Arial"/>
          <w:sz w:val="24"/>
          <w:szCs w:val="24"/>
          <w:u w:val="single"/>
        </w:rPr>
      </w:pPr>
    </w:p>
    <w:p w14:paraId="7F1070BE" w14:textId="43A12FD7" w:rsidR="00600256" w:rsidRDefault="00C10B74" w:rsidP="00C10B74">
      <w:pPr>
        <w:jc w:val="both"/>
        <w:rPr>
          <w:rFonts w:ascii="Arial" w:hAnsi="Arial" w:cs="Arial"/>
          <w:sz w:val="24"/>
          <w:szCs w:val="24"/>
        </w:rPr>
      </w:pPr>
      <w:r w:rsidRPr="00B82233">
        <w:rPr>
          <w:rFonts w:ascii="Arial" w:hAnsi="Arial" w:cs="Arial"/>
          <w:sz w:val="24"/>
          <w:szCs w:val="24"/>
        </w:rPr>
        <w:t>Considerando que a dívida está sujeita à variação diária da Taxa SELIC, a cobrança da dívida será emitida pela INSTITUIÇÃO FINANCEIRA CREDENCIADA com a indicação de um valor referencial nesse indicador, cuja cotação deverá ser obtida no portal oficial do Sistema BNDES na Internet (</w:t>
      </w:r>
      <w:hyperlink r:id="rId22" w:history="1">
        <w:r w:rsidRPr="00B82233">
          <w:rPr>
            <w:rFonts w:ascii="Arial" w:hAnsi="Arial" w:cs="Arial"/>
            <w:color w:val="000000"/>
            <w:sz w:val="24"/>
            <w:szCs w:val="24"/>
            <w:u w:val="single"/>
          </w:rPr>
          <w:t>http://www.bndes.gov.br/SiteBNDES/bndes/bndes_pt/Ferramentas_e_Normas/Moedas_Contratuais</w:t>
        </w:r>
      </w:hyperlink>
      <w:r w:rsidRPr="00B82233">
        <w:rPr>
          <w:rFonts w:ascii="Arial" w:hAnsi="Arial" w:cs="Arial"/>
          <w:color w:val="000000"/>
          <w:sz w:val="24"/>
          <w:szCs w:val="24"/>
        </w:rPr>
        <w:t>- código 143</w:t>
      </w:r>
      <w:r w:rsidRPr="00B82233">
        <w:rPr>
          <w:rFonts w:ascii="Arial" w:hAnsi="Arial" w:cs="Arial"/>
          <w:sz w:val="24"/>
          <w:szCs w:val="24"/>
        </w:rPr>
        <w:t>), sendo o valor do pagamento devido em moeda corrente, apurado pela respectiva cotação válida para o dia do efetivo pagamento.</w:t>
      </w:r>
    </w:p>
    <w:p w14:paraId="1B12E3B7" w14:textId="3A8FC50F" w:rsidR="00600256" w:rsidRPr="00600256" w:rsidRDefault="00600256" w:rsidP="00600256">
      <w:pPr>
        <w:pStyle w:val="BNDES"/>
        <w:numPr>
          <w:ilvl w:val="0"/>
          <w:numId w:val="49"/>
        </w:numPr>
        <w:ind w:left="709" w:hanging="709"/>
        <w:rPr>
          <w:rFonts w:cs="Arial"/>
          <w:b/>
          <w:bCs/>
          <w:u w:val="single"/>
        </w:rPr>
      </w:pPr>
      <w:r>
        <w:rPr>
          <w:rFonts w:cs="Arial"/>
          <w:szCs w:val="24"/>
        </w:rPr>
        <w:br w:type="page"/>
      </w:r>
      <w:r w:rsidRPr="00600256">
        <w:rPr>
          <w:rFonts w:cs="Arial"/>
          <w:b/>
          <w:bCs/>
          <w:u w:val="single"/>
        </w:rPr>
        <w:lastRenderedPageBreak/>
        <w:t>Cláusulas específicas que deverão constar nos instrumentos jurídicos que formalizam a operação de crédito com Custo Financeiro em Taxa LCD</w:t>
      </w:r>
      <w:r w:rsidRPr="00513BEA">
        <w:rPr>
          <w:rFonts w:cs="Arial"/>
          <w:b/>
          <w:bCs/>
          <w:u w:val="single"/>
          <w:vertAlign w:val="superscript"/>
        </w:rPr>
        <w:t>EXIG</w:t>
      </w:r>
      <w:r w:rsidRPr="00600256">
        <w:rPr>
          <w:rFonts w:cs="Arial"/>
          <w:b/>
          <w:bCs/>
          <w:u w:val="single"/>
        </w:rPr>
        <w:t xml:space="preserve"> (EXIGÍVEL), observadas eventuais especificidades previstas nas Circulares dos Programas </w:t>
      </w:r>
      <w:r>
        <w:rPr>
          <w:rFonts w:cs="Arial"/>
          <w:b/>
          <w:i/>
          <w:color w:val="000099"/>
          <w:sz w:val="20"/>
          <w:szCs w:val="24"/>
        </w:rPr>
        <w:t>(Incluído pela Circular SUP/ADIG Nº 20/2025-BNDES, de 10.03.2025)</w:t>
      </w:r>
    </w:p>
    <w:p w14:paraId="3EB69F33" w14:textId="77777777" w:rsidR="00600256" w:rsidRPr="00797A8C" w:rsidRDefault="00600256" w:rsidP="00600256">
      <w:pPr>
        <w:tabs>
          <w:tab w:val="left" w:pos="1320"/>
        </w:tabs>
        <w:spacing w:after="120"/>
        <w:jc w:val="both"/>
        <w:rPr>
          <w:rFonts w:ascii="Arial" w:hAnsi="Arial" w:cs="Arial"/>
          <w:b/>
          <w:sz w:val="24"/>
          <w:szCs w:val="24"/>
        </w:rPr>
      </w:pPr>
    </w:p>
    <w:p w14:paraId="7F063872" w14:textId="77777777" w:rsidR="00600256" w:rsidRPr="00B82233" w:rsidRDefault="00600256" w:rsidP="00600256">
      <w:pPr>
        <w:jc w:val="both"/>
        <w:rPr>
          <w:rFonts w:ascii="Arial" w:hAnsi="Arial" w:cs="Arial"/>
          <w:sz w:val="24"/>
          <w:szCs w:val="24"/>
        </w:rPr>
      </w:pPr>
      <w:r w:rsidRPr="00B82233">
        <w:rPr>
          <w:rFonts w:ascii="Arial" w:hAnsi="Arial" w:cs="Arial"/>
          <w:sz w:val="24"/>
          <w:szCs w:val="24"/>
          <w:u w:val="single"/>
        </w:rPr>
        <w:t>VALOR DO CRÉDITO</w:t>
      </w:r>
      <w:r w:rsidRPr="00B82233">
        <w:rPr>
          <w:rFonts w:ascii="Arial" w:hAnsi="Arial" w:cs="Arial"/>
          <w:sz w:val="24"/>
          <w:szCs w:val="24"/>
        </w:rPr>
        <w:t xml:space="preserve">: </w:t>
      </w:r>
      <w:r w:rsidRPr="00184662">
        <w:rPr>
          <w:rFonts w:ascii="Arial" w:hAnsi="Arial" w:cs="Arial"/>
          <w:sz w:val="24"/>
          <w:szCs w:val="24"/>
        </w:rPr>
        <w:t xml:space="preserve">R$ ................... (..............), a ser provido com recursos ordinários do </w:t>
      </w:r>
      <w:r>
        <w:rPr>
          <w:rFonts w:ascii="Arial" w:hAnsi="Arial" w:cs="Arial"/>
          <w:sz w:val="24"/>
          <w:szCs w:val="24"/>
        </w:rPr>
        <w:t xml:space="preserve">Sistema </w:t>
      </w:r>
      <w:r w:rsidRPr="00184662">
        <w:rPr>
          <w:rFonts w:ascii="Arial" w:hAnsi="Arial" w:cs="Arial"/>
          <w:sz w:val="24"/>
          <w:szCs w:val="24"/>
        </w:rPr>
        <w:t xml:space="preserve">BNDES, que são compostos, dentre outras fontes, pelos recursos do Fundo de Amparo ao Trabalhador – FAT e pelos recursos originários do FAT – Depósitos Especiais, respeitada, quanto à sua alocação, a legislação aplicável a cada uma das aludidas fontes, à conta do Contrato de Abertura de Crédito (CAC) celebrado entre o </w:t>
      </w:r>
      <w:r>
        <w:rPr>
          <w:rFonts w:ascii="Arial" w:hAnsi="Arial" w:cs="Arial"/>
          <w:sz w:val="24"/>
          <w:szCs w:val="24"/>
        </w:rPr>
        <w:t xml:space="preserve">Sistema </w:t>
      </w:r>
      <w:r w:rsidRPr="00184662">
        <w:rPr>
          <w:rFonts w:ascii="Arial" w:hAnsi="Arial" w:cs="Arial"/>
          <w:sz w:val="24"/>
          <w:szCs w:val="24"/>
        </w:rPr>
        <w:t>BNDES e INSTITUIÇÕES FINANCEIRAS CREDENCIADAS</w:t>
      </w:r>
      <w:r w:rsidRPr="00B82233">
        <w:rPr>
          <w:rFonts w:ascii="Arial" w:hAnsi="Arial" w:cs="Arial"/>
          <w:sz w:val="24"/>
          <w:szCs w:val="24"/>
        </w:rPr>
        <w:t>.</w:t>
      </w:r>
    </w:p>
    <w:p w14:paraId="2CB07436" w14:textId="77777777" w:rsidR="00600256" w:rsidRPr="00B82233" w:rsidRDefault="00600256" w:rsidP="00600256">
      <w:pPr>
        <w:jc w:val="both"/>
        <w:rPr>
          <w:rFonts w:ascii="Arial" w:hAnsi="Arial" w:cs="Arial"/>
          <w:sz w:val="24"/>
          <w:szCs w:val="24"/>
        </w:rPr>
      </w:pPr>
    </w:p>
    <w:p w14:paraId="08670CC5" w14:textId="77777777" w:rsidR="00600256" w:rsidRPr="00050EC3" w:rsidRDefault="00600256" w:rsidP="00600256">
      <w:pPr>
        <w:spacing w:before="120" w:after="120"/>
        <w:jc w:val="both"/>
        <w:rPr>
          <w:rFonts w:ascii="Arial" w:hAnsi="Arial" w:cs="Arial"/>
          <w:color w:val="000000"/>
          <w:sz w:val="24"/>
          <w:szCs w:val="24"/>
        </w:rPr>
      </w:pPr>
      <w:r w:rsidRPr="00B82233">
        <w:rPr>
          <w:rFonts w:ascii="Arial" w:hAnsi="Arial" w:cs="Arial"/>
          <w:sz w:val="24"/>
          <w:szCs w:val="24"/>
          <w:u w:val="single"/>
        </w:rPr>
        <w:t>JUROS</w:t>
      </w:r>
      <w:r>
        <w:rPr>
          <w:rFonts w:ascii="Arial" w:hAnsi="Arial" w:cs="Arial"/>
          <w:sz w:val="24"/>
          <w:szCs w:val="24"/>
          <w:u w:val="single"/>
        </w:rPr>
        <w:t>:</w:t>
      </w:r>
      <w:r w:rsidRPr="00B82233">
        <w:rPr>
          <w:rFonts w:ascii="Arial" w:hAnsi="Arial" w:cs="Arial"/>
          <w:sz w:val="24"/>
          <w:szCs w:val="24"/>
        </w:rPr>
        <w:t xml:space="preserve"> Os juros serão devidos à</w:t>
      </w:r>
      <w:r w:rsidRPr="00797A8C">
        <w:rPr>
          <w:rFonts w:ascii="Arial" w:hAnsi="Arial" w:cs="Arial"/>
          <w:color w:val="000000"/>
          <w:sz w:val="24"/>
          <w:szCs w:val="24"/>
        </w:rPr>
        <w:t>s seguintes taxas, observada a sistemática estabelecida nas condições adiante:</w:t>
      </w:r>
    </w:p>
    <w:p w14:paraId="74618A2D" w14:textId="77777777" w:rsidR="00600256" w:rsidRPr="00DD0476" w:rsidRDefault="00600256" w:rsidP="00600256">
      <w:pPr>
        <w:pBdr>
          <w:top w:val="single" w:sz="4" w:space="11" w:color="auto"/>
          <w:left w:val="single" w:sz="4" w:space="4" w:color="auto"/>
          <w:bottom w:val="single" w:sz="4" w:space="15" w:color="auto"/>
          <w:right w:val="single" w:sz="4" w:space="4" w:color="auto"/>
        </w:pBdr>
        <w:tabs>
          <w:tab w:val="left" w:pos="0"/>
          <w:tab w:val="left" w:pos="9072"/>
        </w:tabs>
        <w:autoSpaceDE w:val="0"/>
        <w:autoSpaceDN w:val="0"/>
        <w:adjustRightInd w:val="0"/>
        <w:spacing w:before="120" w:after="240"/>
        <w:rPr>
          <w:rFonts w:ascii="Arial" w:hAnsi="Arial" w:cs="Arial"/>
          <w:color w:val="000000"/>
          <w:sz w:val="24"/>
          <w:szCs w:val="24"/>
        </w:rPr>
      </w:pPr>
      <w:r w:rsidRPr="007E1E32">
        <w:rPr>
          <w:rFonts w:ascii="Arial" w:hAnsi="Arial" w:cs="Arial"/>
          <w:b/>
          <w:color w:val="000000"/>
          <w:sz w:val="24"/>
          <w:szCs w:val="24"/>
        </w:rPr>
        <w:t xml:space="preserve">A </w:t>
      </w:r>
      <w:r w:rsidRPr="00635358">
        <w:rPr>
          <w:rFonts w:ascii="Arial" w:hAnsi="Arial" w:cs="Arial"/>
          <w:b/>
          <w:color w:val="000000"/>
          <w:sz w:val="24"/>
          <w:szCs w:val="24"/>
        </w:rPr>
        <w:t>Sobretaxa LCD</w:t>
      </w:r>
      <w:r w:rsidRPr="00DD0476">
        <w:rPr>
          <w:rFonts w:ascii="Arial" w:hAnsi="Arial" w:cs="Arial"/>
          <w:b/>
          <w:color w:val="000000"/>
          <w:sz w:val="24"/>
          <w:szCs w:val="24"/>
        </w:rPr>
        <w:t xml:space="preserve"> para o custo referenciado à taxa de juros Selic deverá ser obtida no portal oficial do BNDES na Internet, </w:t>
      </w:r>
      <w:hyperlink r:id="rId23" w:history="1">
        <w:r w:rsidRPr="00DD0476">
          <w:rPr>
            <w:rFonts w:ascii="Arial" w:hAnsi="Arial" w:cs="Arial"/>
            <w:b/>
            <w:color w:val="000000"/>
            <w:sz w:val="24"/>
            <w:szCs w:val="24"/>
          </w:rPr>
          <w:t>http://www.bndes.gov.br/SiteBNDES/bndes/bndes_pt/Ferramentas_e_Normas/Moedas_Contratuais</w:t>
        </w:r>
      </w:hyperlink>
      <w:r w:rsidRPr="00DD0476">
        <w:rPr>
          <w:rFonts w:ascii="Arial" w:hAnsi="Arial" w:cs="Arial"/>
          <w:b/>
          <w:color w:val="000000"/>
          <w:sz w:val="24"/>
          <w:szCs w:val="24"/>
        </w:rPr>
        <w:t>), através de consulta pelo código LD1.</w:t>
      </w:r>
    </w:p>
    <w:p w14:paraId="5CFECB6B" w14:textId="77777777" w:rsidR="00600256" w:rsidRPr="00DD0476" w:rsidRDefault="00600256" w:rsidP="00600256">
      <w:pPr>
        <w:ind w:left="2833" w:hanging="2549"/>
        <w:jc w:val="both"/>
        <w:rPr>
          <w:rFonts w:ascii="Arial" w:hAnsi="Arial" w:cs="Arial"/>
          <w:sz w:val="24"/>
          <w:szCs w:val="24"/>
        </w:rPr>
      </w:pPr>
      <w:r w:rsidRPr="00DD0476">
        <w:rPr>
          <w:rFonts w:ascii="Arial" w:hAnsi="Arial" w:cs="Arial"/>
          <w:color w:val="000000"/>
          <w:sz w:val="24"/>
          <w:szCs w:val="24"/>
        </w:rPr>
        <w:t xml:space="preserve">I - </w:t>
      </w:r>
      <w:r w:rsidRPr="00DD0476">
        <w:rPr>
          <w:rFonts w:ascii="Arial" w:hAnsi="Arial" w:cs="Arial"/>
          <w:sz w:val="24"/>
          <w:szCs w:val="24"/>
          <w:u w:val="single"/>
        </w:rPr>
        <w:t>a serem cobrados à INSTITUIÇÃO FINANCEIRA CREDENCIADA pelo Sistema BNDES</w:t>
      </w:r>
      <w:r w:rsidRPr="00DD0476">
        <w:rPr>
          <w:rFonts w:ascii="Arial" w:hAnsi="Arial" w:cs="Arial"/>
          <w:sz w:val="24"/>
          <w:szCs w:val="24"/>
        </w:rPr>
        <w:t>:</w:t>
      </w:r>
    </w:p>
    <w:p w14:paraId="35CEB771" w14:textId="77777777" w:rsidR="00600256" w:rsidRPr="00DD0476" w:rsidRDefault="00600256" w:rsidP="00600256">
      <w:pPr>
        <w:spacing w:before="120" w:after="120"/>
        <w:jc w:val="both"/>
        <w:rPr>
          <w:rFonts w:ascii="Arial" w:hAnsi="Arial" w:cs="Arial"/>
          <w:color w:val="000000"/>
          <w:sz w:val="24"/>
          <w:szCs w:val="24"/>
        </w:rPr>
      </w:pPr>
    </w:p>
    <w:p w14:paraId="56602F49" w14:textId="77777777" w:rsidR="00600256" w:rsidRPr="00295C28" w:rsidRDefault="00600256" w:rsidP="00600256">
      <w:pPr>
        <w:ind w:left="2833" w:hanging="1753"/>
        <w:jc w:val="both"/>
        <w:rPr>
          <w:rFonts w:ascii="Arial" w:hAnsi="Arial" w:cs="Arial"/>
          <w:color w:val="000000"/>
          <w:sz w:val="24"/>
          <w:szCs w:val="24"/>
        </w:rPr>
      </w:pPr>
      <w:r w:rsidRPr="00DD0476">
        <w:rPr>
          <w:rFonts w:ascii="Arial" w:hAnsi="Arial" w:cs="Arial"/>
          <w:color w:val="000000"/>
          <w:sz w:val="24"/>
          <w:szCs w:val="24"/>
        </w:rPr>
        <w:t xml:space="preserve">....... % (............ por cento) </w:t>
      </w:r>
      <w:r w:rsidRPr="00DD0476">
        <w:rPr>
          <w:rFonts w:ascii="Arial" w:hAnsi="Arial" w:cs="Arial"/>
          <w:bCs/>
          <w:iCs/>
          <w:color w:val="000000"/>
          <w:sz w:val="24"/>
          <w:szCs w:val="24"/>
        </w:rPr>
        <w:t xml:space="preserve">[A taxa de juros corresponderá a .....% (soma da remuneração básica + taxa de intermediação, acrescida da </w:t>
      </w:r>
      <w:r w:rsidRPr="00635358">
        <w:rPr>
          <w:rFonts w:ascii="Arial" w:hAnsi="Arial" w:cs="Arial"/>
          <w:bCs/>
          <w:iCs/>
          <w:color w:val="000000"/>
          <w:sz w:val="24"/>
          <w:szCs w:val="24"/>
        </w:rPr>
        <w:t>Sobretaxa LCD</w:t>
      </w:r>
      <w:r w:rsidRPr="00DD0476">
        <w:rPr>
          <w:rFonts w:ascii="Arial" w:hAnsi="Arial" w:cs="Arial"/>
          <w:bCs/>
          <w:iCs/>
          <w:color w:val="000000"/>
          <w:sz w:val="24"/>
          <w:szCs w:val="24"/>
        </w:rPr>
        <w:t xml:space="preserve"> a ser divulgada</w:t>
      </w:r>
      <w:r w:rsidRPr="00F01F75">
        <w:rPr>
          <w:rFonts w:ascii="Arial" w:hAnsi="Arial" w:cs="Arial"/>
          <w:bCs/>
          <w:iCs/>
          <w:color w:val="000000"/>
          <w:sz w:val="24"/>
          <w:szCs w:val="24"/>
        </w:rPr>
        <w:t xml:space="preserve"> pelo Sistema BNDES, vigente na data da contratação]</w:t>
      </w:r>
      <w:r w:rsidRPr="00F01F75">
        <w:rPr>
          <w:rFonts w:ascii="Arial" w:hAnsi="Arial" w:cs="Arial"/>
          <w:color w:val="000000"/>
          <w:sz w:val="24"/>
          <w:szCs w:val="24"/>
        </w:rPr>
        <w:t xml:space="preserve"> ao ano (a título de remuneração), base 252 (duzentos e cinquenta e dois) dias úteis, acima da variação acumulada das taxas médias diárias dos financiamentos apurados no Sistema Especial de Liquidação e de Custódia (Taxas SELIC), divulgadas pelo Banco Central do Brasil, e </w:t>
      </w:r>
    </w:p>
    <w:p w14:paraId="4302D711" w14:textId="77777777" w:rsidR="00600256" w:rsidRPr="00295C28" w:rsidRDefault="00600256" w:rsidP="00600256">
      <w:pPr>
        <w:ind w:left="426" w:hanging="142"/>
        <w:jc w:val="both"/>
        <w:rPr>
          <w:rFonts w:ascii="Arial" w:hAnsi="Arial" w:cs="Arial"/>
          <w:color w:val="000000"/>
          <w:sz w:val="24"/>
          <w:szCs w:val="24"/>
        </w:rPr>
      </w:pPr>
    </w:p>
    <w:p w14:paraId="5F016EF5" w14:textId="77777777" w:rsidR="00600256" w:rsidRPr="00B82233" w:rsidRDefault="00600256" w:rsidP="00600256">
      <w:pPr>
        <w:ind w:left="426" w:hanging="142"/>
        <w:jc w:val="both"/>
        <w:rPr>
          <w:rFonts w:ascii="Arial" w:hAnsi="Arial" w:cs="Arial"/>
          <w:color w:val="000000"/>
          <w:sz w:val="24"/>
          <w:szCs w:val="24"/>
        </w:rPr>
      </w:pPr>
      <w:r w:rsidRPr="00295C28">
        <w:rPr>
          <w:rFonts w:ascii="Arial" w:hAnsi="Arial" w:cs="Arial"/>
          <w:color w:val="000000"/>
          <w:sz w:val="24"/>
          <w:szCs w:val="24"/>
        </w:rPr>
        <w:t>II -</w:t>
      </w:r>
      <w:r w:rsidRPr="00295C28">
        <w:rPr>
          <w:rFonts w:ascii="Arial" w:hAnsi="Arial" w:cs="Arial"/>
          <w:color w:val="000000"/>
          <w:sz w:val="24"/>
          <w:szCs w:val="24"/>
        </w:rPr>
        <w:tab/>
        <w:t xml:space="preserve">a serem cobrados </w:t>
      </w:r>
      <w:r>
        <w:rPr>
          <w:rFonts w:ascii="Arial" w:hAnsi="Arial" w:cs="Arial"/>
          <w:color w:val="000000"/>
          <w:sz w:val="24"/>
          <w:szCs w:val="24"/>
        </w:rPr>
        <w:t>do</w:t>
      </w:r>
      <w:r w:rsidRPr="00295C28">
        <w:rPr>
          <w:rFonts w:ascii="Arial" w:hAnsi="Arial" w:cs="Arial"/>
          <w:color w:val="000000"/>
          <w:sz w:val="24"/>
          <w:szCs w:val="24"/>
        </w:rPr>
        <w:t xml:space="preserve"> </w:t>
      </w:r>
      <w:r>
        <w:rPr>
          <w:rFonts w:ascii="Arial" w:hAnsi="Arial" w:cs="Arial"/>
          <w:color w:val="000000"/>
          <w:sz w:val="24"/>
          <w:szCs w:val="24"/>
        </w:rPr>
        <w:t>CLIENTE</w:t>
      </w:r>
      <w:r w:rsidRPr="00295C28">
        <w:rPr>
          <w:rFonts w:ascii="Arial" w:hAnsi="Arial" w:cs="Arial"/>
          <w:color w:val="000000"/>
          <w:sz w:val="24"/>
          <w:szCs w:val="24"/>
        </w:rPr>
        <w:t xml:space="preserve"> pela INSTITUIÇÃO FINANCEIRA CREDENCIADA:</w:t>
      </w:r>
    </w:p>
    <w:p w14:paraId="550A874B" w14:textId="77777777" w:rsidR="00600256" w:rsidRPr="00797A8C" w:rsidRDefault="00600256" w:rsidP="00600256">
      <w:pPr>
        <w:ind w:left="2833" w:hanging="1753"/>
        <w:jc w:val="both"/>
        <w:rPr>
          <w:rFonts w:ascii="Arial" w:hAnsi="Arial" w:cs="Arial"/>
          <w:color w:val="000000"/>
          <w:sz w:val="24"/>
          <w:szCs w:val="24"/>
        </w:rPr>
      </w:pPr>
    </w:p>
    <w:p w14:paraId="0FF51D5E" w14:textId="77777777" w:rsidR="00600256" w:rsidRPr="00F25DDD" w:rsidRDefault="00600256" w:rsidP="00600256">
      <w:pPr>
        <w:pStyle w:val="numeroON"/>
        <w:spacing w:before="0" w:after="0"/>
        <w:ind w:left="2835" w:hanging="1559"/>
        <w:jc w:val="both"/>
        <w:rPr>
          <w:rFonts w:cs="Arial"/>
          <w:b w:val="0"/>
          <w:bCs w:val="0"/>
          <w:iCs/>
          <w:caps w:val="0"/>
          <w:color w:val="000000"/>
          <w:szCs w:val="24"/>
        </w:rPr>
      </w:pPr>
      <w:r w:rsidRPr="00797A8C">
        <w:rPr>
          <w:rFonts w:cs="Arial"/>
          <w:b w:val="0"/>
          <w:iCs/>
          <w:caps w:val="0"/>
          <w:color w:val="000000"/>
          <w:szCs w:val="24"/>
        </w:rPr>
        <w:t xml:space="preserve">....... % (............ por cento) ao ano </w:t>
      </w:r>
      <w:r w:rsidRPr="00F25DDD">
        <w:rPr>
          <w:rFonts w:cs="Arial"/>
          <w:b w:val="0"/>
          <w:bCs w:val="0"/>
          <w:iCs/>
          <w:caps w:val="0"/>
          <w:color w:val="000000"/>
          <w:szCs w:val="24"/>
        </w:rPr>
        <w:t xml:space="preserve">[A taxa de juros corresponderá a .....% (soma da remuneração básica + taxa de intermediação financeira + remuneração da instituição financeira credenciada), acrescida da  </w:t>
      </w:r>
      <w:r w:rsidRPr="00635358">
        <w:rPr>
          <w:rFonts w:cs="Arial"/>
          <w:b w:val="0"/>
          <w:bCs w:val="0"/>
          <w:iCs/>
          <w:caps w:val="0"/>
          <w:color w:val="000000"/>
          <w:szCs w:val="24"/>
        </w:rPr>
        <w:t>Sobretaxa LCD</w:t>
      </w:r>
      <w:r w:rsidRPr="00DD0476">
        <w:rPr>
          <w:rFonts w:cs="Arial"/>
          <w:b w:val="0"/>
          <w:bCs w:val="0"/>
          <w:iCs/>
          <w:caps w:val="0"/>
          <w:color w:val="000000"/>
          <w:szCs w:val="24"/>
        </w:rPr>
        <w:t xml:space="preserve"> a ser</w:t>
      </w:r>
      <w:r w:rsidRPr="00F25DDD">
        <w:rPr>
          <w:rFonts w:cs="Arial"/>
          <w:b w:val="0"/>
          <w:bCs w:val="0"/>
          <w:iCs/>
          <w:caps w:val="0"/>
          <w:color w:val="000000"/>
          <w:szCs w:val="24"/>
        </w:rPr>
        <w:t xml:space="preserve"> divulgada pelo BNDES, vigente na data da contratação] (a título de remuneração), base 252 (duzentos e cinquenta e dois) dias úteis, acima da variação acumulada das taxas médias diárias dos financiamentos apurados no Sistema Especial de Liquidação e de Custódia – SELIC (Taxas SELIC), divulgadas pelo Banco Central do Brasil, de acordo com a fórmula a seguir:</w:t>
      </w:r>
    </w:p>
    <w:p w14:paraId="49745FD0" w14:textId="77777777" w:rsidR="00600256" w:rsidRPr="00F25DDD" w:rsidRDefault="00600256" w:rsidP="00600256">
      <w:pPr>
        <w:ind w:left="2833" w:hanging="1753"/>
        <w:jc w:val="both"/>
        <w:rPr>
          <w:rFonts w:ascii="Arial" w:hAnsi="Arial" w:cs="Arial"/>
          <w:color w:val="000000"/>
          <w:sz w:val="24"/>
          <w:szCs w:val="24"/>
        </w:rPr>
      </w:pPr>
    </w:p>
    <w:p w14:paraId="108C7F0A" w14:textId="77777777" w:rsidR="00600256" w:rsidRPr="00F25DDD" w:rsidRDefault="00600256" w:rsidP="00600256">
      <w:pPr>
        <w:ind w:left="2833" w:hanging="1753"/>
        <w:jc w:val="both"/>
        <w:rPr>
          <w:rFonts w:ascii="Arial" w:hAnsi="Arial" w:cs="Arial"/>
          <w:color w:val="000000"/>
          <w:sz w:val="24"/>
          <w:szCs w:val="24"/>
        </w:rPr>
      </w:pPr>
    </w:p>
    <w:p w14:paraId="78F25941" w14:textId="77777777" w:rsidR="00600256" w:rsidRPr="00F25DDD" w:rsidRDefault="00600256" w:rsidP="00600256">
      <w:pPr>
        <w:jc w:val="both"/>
        <w:rPr>
          <w:rFonts w:ascii="Arial" w:hAnsi="Arial" w:cs="Arial"/>
          <w:i/>
          <w:color w:val="000000"/>
          <w:sz w:val="24"/>
          <w:szCs w:val="24"/>
        </w:rPr>
      </w:pPr>
      <w:r w:rsidRPr="00F25DDD">
        <w:rPr>
          <w:rFonts w:ascii="Arial" w:hAnsi="Arial" w:cs="Arial"/>
          <w:color w:val="000000"/>
          <w:sz w:val="24"/>
          <w:szCs w:val="24"/>
        </w:rPr>
        <w:lastRenderedPageBreak/>
        <w:t xml:space="preserve">                                       </w:t>
      </w:r>
      <w:r w:rsidRPr="00F25DDD">
        <w:rPr>
          <w:rFonts w:ascii="Arial" w:hAnsi="Arial" w:cs="Arial"/>
          <w:i/>
          <w:color w:val="000000"/>
          <w:sz w:val="24"/>
          <w:szCs w:val="24"/>
        </w:rPr>
        <w:t>J= Sp x [(FatorJuros x FatorSelic)-1]</w:t>
      </w:r>
    </w:p>
    <w:p w14:paraId="0456FC6A" w14:textId="77777777" w:rsidR="00600256" w:rsidRPr="00F25DDD" w:rsidRDefault="00600256" w:rsidP="00600256">
      <w:pPr>
        <w:ind w:left="1058"/>
        <w:jc w:val="both"/>
        <w:rPr>
          <w:rFonts w:ascii="Arial" w:hAnsi="Arial" w:cs="Arial"/>
          <w:color w:val="000000"/>
          <w:sz w:val="24"/>
          <w:szCs w:val="24"/>
        </w:rPr>
      </w:pPr>
      <w:r w:rsidRPr="00F25DDD">
        <w:rPr>
          <w:rFonts w:ascii="Arial" w:hAnsi="Arial" w:cs="Arial"/>
          <w:iCs/>
          <w:color w:val="000000"/>
          <w:sz w:val="24"/>
          <w:szCs w:val="24"/>
        </w:rPr>
        <w:t>Em que:</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466"/>
        <w:gridCol w:w="6555"/>
      </w:tblGrid>
      <w:tr w:rsidR="00600256" w:rsidRPr="00F25DDD" w14:paraId="50C136FF" w14:textId="77777777" w:rsidTr="0095505F">
        <w:tc>
          <w:tcPr>
            <w:tcW w:w="1364" w:type="dxa"/>
            <w:shd w:val="clear" w:color="auto" w:fill="auto"/>
          </w:tcPr>
          <w:p w14:paraId="181E3445" w14:textId="77777777" w:rsidR="00600256" w:rsidRPr="00F25DDD" w:rsidRDefault="00600256" w:rsidP="0095505F">
            <w:pPr>
              <w:jc w:val="both"/>
              <w:rPr>
                <w:rFonts w:ascii="Arial" w:hAnsi="Arial" w:cs="Arial"/>
                <w:i/>
                <w:iCs/>
                <w:color w:val="000000"/>
                <w:sz w:val="24"/>
                <w:szCs w:val="24"/>
              </w:rPr>
            </w:pPr>
            <w:r w:rsidRPr="00F25DDD">
              <w:rPr>
                <w:rFonts w:ascii="Arial" w:hAnsi="Arial" w:cs="Arial"/>
                <w:i/>
                <w:iCs/>
                <w:color w:val="000000"/>
                <w:sz w:val="24"/>
                <w:szCs w:val="24"/>
              </w:rPr>
              <w:t>J</w:t>
            </w:r>
          </w:p>
        </w:tc>
        <w:tc>
          <w:tcPr>
            <w:tcW w:w="466" w:type="dxa"/>
            <w:shd w:val="clear" w:color="auto" w:fill="auto"/>
          </w:tcPr>
          <w:p w14:paraId="59C7F2A9"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w:t>
            </w:r>
          </w:p>
        </w:tc>
        <w:tc>
          <w:tcPr>
            <w:tcW w:w="6555" w:type="dxa"/>
            <w:shd w:val="clear" w:color="auto" w:fill="auto"/>
          </w:tcPr>
          <w:p w14:paraId="66B5350E"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valor dos juros ao final de cada Período de Juros, exigíveis conforme o disposto abaixo;</w:t>
            </w:r>
          </w:p>
        </w:tc>
      </w:tr>
      <w:tr w:rsidR="00600256" w:rsidRPr="00F25DDD" w14:paraId="05D68C52" w14:textId="77777777" w:rsidTr="0095505F">
        <w:tc>
          <w:tcPr>
            <w:tcW w:w="1364" w:type="dxa"/>
            <w:shd w:val="clear" w:color="auto" w:fill="auto"/>
          </w:tcPr>
          <w:p w14:paraId="1F67B778" w14:textId="77777777" w:rsidR="00600256" w:rsidRPr="00F25DDD" w:rsidRDefault="00600256" w:rsidP="0095505F">
            <w:pPr>
              <w:jc w:val="both"/>
              <w:rPr>
                <w:rFonts w:ascii="Arial" w:hAnsi="Arial" w:cs="Arial"/>
                <w:i/>
                <w:iCs/>
                <w:color w:val="000000"/>
                <w:sz w:val="24"/>
                <w:szCs w:val="24"/>
              </w:rPr>
            </w:pPr>
            <w:r w:rsidRPr="00F25DDD">
              <w:rPr>
                <w:rFonts w:ascii="Arial" w:hAnsi="Arial" w:cs="Arial"/>
                <w:i/>
                <w:iCs/>
                <w:color w:val="000000"/>
                <w:sz w:val="24"/>
                <w:szCs w:val="24"/>
              </w:rPr>
              <w:t>Sp</w:t>
            </w:r>
          </w:p>
        </w:tc>
        <w:tc>
          <w:tcPr>
            <w:tcW w:w="466" w:type="dxa"/>
            <w:shd w:val="clear" w:color="auto" w:fill="auto"/>
          </w:tcPr>
          <w:p w14:paraId="68F64079"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w:t>
            </w:r>
          </w:p>
        </w:tc>
        <w:tc>
          <w:tcPr>
            <w:tcW w:w="6555" w:type="dxa"/>
            <w:shd w:val="clear" w:color="auto" w:fill="auto"/>
          </w:tcPr>
          <w:p w14:paraId="4A143F8B"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Saldo devedor de principal calculado com 2 (duas) casas decimais, sem arredondamento;</w:t>
            </w:r>
          </w:p>
        </w:tc>
      </w:tr>
      <w:tr w:rsidR="00600256" w:rsidRPr="00F25DDD" w14:paraId="62A2322F" w14:textId="77777777" w:rsidTr="0095505F">
        <w:tc>
          <w:tcPr>
            <w:tcW w:w="1364" w:type="dxa"/>
            <w:shd w:val="clear" w:color="auto" w:fill="auto"/>
          </w:tcPr>
          <w:p w14:paraId="12D1CA95" w14:textId="77777777" w:rsidR="00600256" w:rsidRPr="00F25DDD" w:rsidRDefault="00600256" w:rsidP="0095505F">
            <w:pPr>
              <w:jc w:val="both"/>
              <w:rPr>
                <w:rFonts w:ascii="Arial" w:hAnsi="Arial" w:cs="Arial"/>
                <w:color w:val="000000"/>
                <w:sz w:val="24"/>
                <w:szCs w:val="24"/>
              </w:rPr>
            </w:pPr>
            <w:r w:rsidRPr="00F25DDD">
              <w:rPr>
                <w:rFonts w:ascii="Arial" w:hAnsi="Arial" w:cs="Arial"/>
                <w:i/>
                <w:color w:val="000000"/>
                <w:sz w:val="24"/>
                <w:szCs w:val="24"/>
              </w:rPr>
              <w:t>FatorJuros</w:t>
            </w:r>
          </w:p>
        </w:tc>
        <w:tc>
          <w:tcPr>
            <w:tcW w:w="466" w:type="dxa"/>
            <w:shd w:val="clear" w:color="auto" w:fill="auto"/>
          </w:tcPr>
          <w:p w14:paraId="155570BA" w14:textId="77777777" w:rsidR="00600256" w:rsidRPr="00F25DDD" w:rsidRDefault="00600256" w:rsidP="0095505F">
            <w:pPr>
              <w:jc w:val="both"/>
              <w:rPr>
                <w:rFonts w:ascii="Arial" w:hAnsi="Arial" w:cs="Arial"/>
                <w:color w:val="000000"/>
                <w:sz w:val="24"/>
                <w:szCs w:val="24"/>
              </w:rPr>
            </w:pPr>
            <w:r w:rsidRPr="00F25DDD">
              <w:rPr>
                <w:rFonts w:ascii="Arial" w:hAnsi="Arial" w:cs="Arial"/>
                <w:i/>
                <w:color w:val="000000"/>
                <w:sz w:val="24"/>
                <w:szCs w:val="24"/>
              </w:rPr>
              <w:t>=</w:t>
            </w:r>
          </w:p>
        </w:tc>
        <w:tc>
          <w:tcPr>
            <w:tcW w:w="6555" w:type="dxa"/>
            <w:shd w:val="clear" w:color="auto" w:fill="auto"/>
          </w:tcPr>
          <w:p w14:paraId="09D244B3"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fator da parcela de juros fixos apurado da seguinte forma:</w:t>
            </w:r>
          </w:p>
        </w:tc>
      </w:tr>
    </w:tbl>
    <w:p w14:paraId="036C26E5" w14:textId="77777777" w:rsidR="00600256" w:rsidRPr="00F25DDD" w:rsidRDefault="00600256" w:rsidP="00600256">
      <w:pPr>
        <w:ind w:left="1985" w:hanging="1276"/>
        <w:jc w:val="both"/>
        <w:rPr>
          <w:rFonts w:ascii="Arial" w:hAnsi="Arial" w:cs="Arial"/>
          <w:i/>
          <w:color w:val="000000"/>
          <w:sz w:val="24"/>
          <w:szCs w:val="24"/>
        </w:rPr>
      </w:pPr>
    </w:p>
    <w:p w14:paraId="671CCF4B" w14:textId="77777777" w:rsidR="00600256" w:rsidRPr="00F25DDD" w:rsidRDefault="00600256" w:rsidP="00600256">
      <w:pPr>
        <w:ind w:left="1985" w:hanging="1276"/>
        <w:jc w:val="center"/>
        <w:rPr>
          <w:rFonts w:ascii="Arial" w:hAnsi="Arial" w:cs="Arial"/>
          <w:i/>
          <w:color w:val="000000"/>
          <w:sz w:val="24"/>
          <w:szCs w:val="24"/>
        </w:rPr>
      </w:pPr>
      <w:r w:rsidRPr="00F25DDD">
        <w:rPr>
          <w:rFonts w:ascii="Arial" w:hAnsi="Arial" w:cs="Arial"/>
          <w:i/>
          <w:noProof/>
          <w:color w:val="000000"/>
          <w:position w:val="-44"/>
          <w:sz w:val="24"/>
          <w:szCs w:val="24"/>
        </w:rPr>
        <w:drawing>
          <wp:inline distT="0" distB="0" distL="0" distR="0" wp14:anchorId="0F04D45F" wp14:editId="4753FF9A">
            <wp:extent cx="2023745" cy="584200"/>
            <wp:effectExtent l="0" t="0" r="0" b="6350"/>
            <wp:docPr id="136586843" name="Imagem 13658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23745" cy="584200"/>
                    </a:xfrm>
                    <a:prstGeom prst="rect">
                      <a:avLst/>
                    </a:prstGeom>
                    <a:noFill/>
                    <a:ln>
                      <a:noFill/>
                    </a:ln>
                  </pic:spPr>
                </pic:pic>
              </a:graphicData>
            </a:graphic>
          </wp:inline>
        </w:drawing>
      </w:r>
    </w:p>
    <w:p w14:paraId="5749619D" w14:textId="77777777" w:rsidR="00600256" w:rsidRPr="00F25DDD" w:rsidRDefault="00600256" w:rsidP="00600256">
      <w:pPr>
        <w:ind w:left="1058"/>
        <w:jc w:val="both"/>
        <w:rPr>
          <w:rFonts w:ascii="Arial" w:hAnsi="Arial" w:cs="Arial"/>
          <w:i/>
          <w:color w:val="000000"/>
          <w:sz w:val="24"/>
          <w:szCs w:val="24"/>
        </w:rPr>
      </w:pPr>
      <w:r w:rsidRPr="00F25DDD">
        <w:rPr>
          <w:rFonts w:ascii="Arial" w:hAnsi="Arial" w:cs="Arial"/>
          <w:iCs/>
          <w:color w:val="000000"/>
          <w:sz w:val="24"/>
          <w:szCs w:val="24"/>
        </w:rPr>
        <w:t>Em que:</w:t>
      </w:r>
    </w:p>
    <w:tbl>
      <w:tblPr>
        <w:tblW w:w="84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57"/>
        <w:gridCol w:w="6625"/>
      </w:tblGrid>
      <w:tr w:rsidR="00600256" w:rsidRPr="00F25DDD" w14:paraId="5F00CEAC" w14:textId="77777777" w:rsidTr="0095505F">
        <w:tc>
          <w:tcPr>
            <w:tcW w:w="1418" w:type="dxa"/>
            <w:shd w:val="clear" w:color="auto" w:fill="auto"/>
          </w:tcPr>
          <w:p w14:paraId="3532970F" w14:textId="77777777" w:rsidR="00600256" w:rsidRPr="00F25DDD" w:rsidRDefault="00600256" w:rsidP="0095505F">
            <w:pPr>
              <w:jc w:val="both"/>
              <w:rPr>
                <w:rFonts w:ascii="Arial" w:hAnsi="Arial" w:cs="Arial"/>
                <w:i/>
                <w:iCs/>
                <w:strike/>
                <w:color w:val="000000"/>
                <w:sz w:val="24"/>
                <w:szCs w:val="24"/>
              </w:rPr>
            </w:pPr>
            <w:r w:rsidRPr="00F25DDD">
              <w:rPr>
                <w:rFonts w:ascii="Arial" w:hAnsi="Arial" w:cs="Arial"/>
                <w:i/>
                <w:iCs/>
                <w:color w:val="000000"/>
                <w:sz w:val="24"/>
                <w:szCs w:val="24"/>
              </w:rPr>
              <w:t>TaxaJuros</w:t>
            </w:r>
          </w:p>
        </w:tc>
        <w:tc>
          <w:tcPr>
            <w:tcW w:w="357" w:type="dxa"/>
            <w:shd w:val="clear" w:color="auto" w:fill="auto"/>
          </w:tcPr>
          <w:p w14:paraId="70D9D7D0" w14:textId="77777777" w:rsidR="00600256" w:rsidRPr="00F25DDD" w:rsidRDefault="00600256" w:rsidP="0095505F">
            <w:pPr>
              <w:jc w:val="both"/>
              <w:rPr>
                <w:rFonts w:ascii="Arial" w:hAnsi="Arial" w:cs="Arial"/>
                <w:strike/>
                <w:color w:val="000000"/>
                <w:sz w:val="24"/>
                <w:szCs w:val="24"/>
              </w:rPr>
            </w:pPr>
          </w:p>
        </w:tc>
        <w:tc>
          <w:tcPr>
            <w:tcW w:w="6625" w:type="dxa"/>
            <w:shd w:val="clear" w:color="auto" w:fill="auto"/>
          </w:tcPr>
          <w:p w14:paraId="70393DB2" w14:textId="77777777" w:rsidR="00600256" w:rsidRPr="00F25DDD" w:rsidRDefault="00600256" w:rsidP="0095505F">
            <w:pPr>
              <w:jc w:val="both"/>
              <w:rPr>
                <w:rFonts w:ascii="Arial" w:hAnsi="Arial" w:cs="Arial"/>
                <w:i/>
                <w:iCs/>
                <w:strike/>
                <w:color w:val="000000"/>
                <w:sz w:val="24"/>
                <w:szCs w:val="24"/>
              </w:rPr>
            </w:pPr>
            <w:r w:rsidRPr="00F25DDD">
              <w:rPr>
                <w:rFonts w:ascii="Arial" w:hAnsi="Arial" w:cs="Arial"/>
                <w:color w:val="000000"/>
                <w:sz w:val="24"/>
                <w:szCs w:val="24"/>
              </w:rPr>
              <w:t>.....% (....... por cento)</w:t>
            </w:r>
          </w:p>
        </w:tc>
      </w:tr>
      <w:tr w:rsidR="00600256" w:rsidRPr="00F25DDD" w14:paraId="07CAC7B9" w14:textId="77777777" w:rsidTr="0095505F">
        <w:tc>
          <w:tcPr>
            <w:tcW w:w="1418" w:type="dxa"/>
            <w:shd w:val="clear" w:color="auto" w:fill="auto"/>
          </w:tcPr>
          <w:p w14:paraId="3D0583D0" w14:textId="77777777" w:rsidR="00600256" w:rsidRPr="00F25DDD" w:rsidRDefault="00600256" w:rsidP="0095505F">
            <w:pPr>
              <w:jc w:val="both"/>
              <w:rPr>
                <w:rFonts w:ascii="Arial" w:hAnsi="Arial" w:cs="Arial"/>
                <w:color w:val="000000"/>
                <w:sz w:val="24"/>
                <w:szCs w:val="24"/>
              </w:rPr>
            </w:pPr>
            <w:r w:rsidRPr="00F25DDD">
              <w:rPr>
                <w:rFonts w:ascii="Arial" w:hAnsi="Arial" w:cs="Arial"/>
                <w:i/>
                <w:iCs/>
                <w:color w:val="000000"/>
                <w:sz w:val="24"/>
                <w:szCs w:val="24"/>
              </w:rPr>
              <w:t>DP</w:t>
            </w:r>
          </w:p>
        </w:tc>
        <w:tc>
          <w:tcPr>
            <w:tcW w:w="357" w:type="dxa"/>
            <w:shd w:val="clear" w:color="auto" w:fill="auto"/>
          </w:tcPr>
          <w:p w14:paraId="179E888C"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w:t>
            </w:r>
          </w:p>
        </w:tc>
        <w:tc>
          <w:tcPr>
            <w:tcW w:w="6625" w:type="dxa"/>
            <w:shd w:val="clear" w:color="auto" w:fill="auto"/>
          </w:tcPr>
          <w:p w14:paraId="37E92F5D"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número inteiro equivalente ao número de dias úteis entre o último evento e a data atual.</w:t>
            </w:r>
          </w:p>
        </w:tc>
      </w:tr>
      <w:tr w:rsidR="00600256" w:rsidRPr="00F25DDD" w14:paraId="466C155F" w14:textId="77777777" w:rsidTr="0095505F">
        <w:tc>
          <w:tcPr>
            <w:tcW w:w="1418" w:type="dxa"/>
            <w:tcBorders>
              <w:top w:val="single" w:sz="4" w:space="0" w:color="auto"/>
              <w:left w:val="single" w:sz="4" w:space="0" w:color="auto"/>
              <w:bottom w:val="single" w:sz="4" w:space="0" w:color="auto"/>
              <w:right w:val="single" w:sz="4" w:space="0" w:color="auto"/>
            </w:tcBorders>
            <w:shd w:val="clear" w:color="auto" w:fill="auto"/>
          </w:tcPr>
          <w:p w14:paraId="095CBBE2" w14:textId="77777777" w:rsidR="00600256" w:rsidRPr="00F25DDD" w:rsidRDefault="00600256" w:rsidP="0095505F">
            <w:pPr>
              <w:jc w:val="both"/>
              <w:rPr>
                <w:rFonts w:ascii="Arial" w:hAnsi="Arial" w:cs="Arial"/>
                <w:i/>
                <w:color w:val="000000"/>
                <w:sz w:val="24"/>
                <w:szCs w:val="24"/>
              </w:rPr>
            </w:pPr>
            <w:r w:rsidRPr="00F25DDD">
              <w:rPr>
                <w:rFonts w:ascii="Arial" w:hAnsi="Arial" w:cs="Arial"/>
                <w:i/>
                <w:iCs/>
                <w:color w:val="000000"/>
                <w:sz w:val="24"/>
                <w:szCs w:val="24"/>
              </w:rPr>
              <w:t>FatorSelic</w:t>
            </w:r>
          </w:p>
        </w:tc>
        <w:tc>
          <w:tcPr>
            <w:tcW w:w="357" w:type="dxa"/>
            <w:tcBorders>
              <w:top w:val="single" w:sz="4" w:space="0" w:color="auto"/>
              <w:left w:val="single" w:sz="4" w:space="0" w:color="auto"/>
              <w:bottom w:val="single" w:sz="4" w:space="0" w:color="auto"/>
              <w:right w:val="single" w:sz="4" w:space="0" w:color="auto"/>
            </w:tcBorders>
            <w:shd w:val="clear" w:color="auto" w:fill="auto"/>
          </w:tcPr>
          <w:p w14:paraId="45A07F01"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w:t>
            </w: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39352227"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produtório das Taxas SELIC da data de início de cada Período de Juros, inclusive, até a data de cálculo exclusive, apurado da seguinte forma:</w:t>
            </w:r>
          </w:p>
        </w:tc>
      </w:tr>
    </w:tbl>
    <w:p w14:paraId="3B7CCA3C" w14:textId="77777777" w:rsidR="00600256" w:rsidRPr="00F25DDD" w:rsidRDefault="00600256" w:rsidP="00600256">
      <w:pPr>
        <w:jc w:val="both"/>
        <w:rPr>
          <w:rFonts w:ascii="Arial" w:hAnsi="Arial" w:cs="Arial"/>
          <w:color w:val="000000"/>
          <w:sz w:val="24"/>
          <w:szCs w:val="24"/>
        </w:rPr>
      </w:pPr>
    </w:p>
    <w:p w14:paraId="3D6728C7" w14:textId="77777777" w:rsidR="00600256" w:rsidRPr="00F25DDD" w:rsidRDefault="00600256" w:rsidP="00600256">
      <w:pPr>
        <w:jc w:val="both"/>
        <w:rPr>
          <w:rFonts w:ascii="Arial" w:hAnsi="Arial" w:cs="Arial"/>
          <w:color w:val="000000"/>
          <w:sz w:val="24"/>
          <w:szCs w:val="24"/>
        </w:rPr>
      </w:pPr>
    </w:p>
    <w:p w14:paraId="399430FC" w14:textId="77777777" w:rsidR="00600256" w:rsidRPr="00F25DDD" w:rsidRDefault="00600256" w:rsidP="00600256">
      <w:pPr>
        <w:jc w:val="center"/>
        <w:rPr>
          <w:rFonts w:ascii="Arial" w:hAnsi="Arial" w:cs="Arial"/>
          <w:color w:val="000000"/>
          <w:sz w:val="24"/>
          <w:szCs w:val="24"/>
        </w:rPr>
      </w:pPr>
      <w:r w:rsidRPr="00F25DDD">
        <w:rPr>
          <w:rFonts w:ascii="Arial" w:hAnsi="Arial" w:cs="Arial"/>
          <w:i/>
          <w:noProof/>
          <w:color w:val="000000"/>
          <w:position w:val="-28"/>
          <w:sz w:val="24"/>
          <w:szCs w:val="24"/>
        </w:rPr>
        <w:drawing>
          <wp:inline distT="0" distB="0" distL="0" distR="0" wp14:anchorId="7C818E88" wp14:editId="11460493">
            <wp:extent cx="2108200" cy="516255"/>
            <wp:effectExtent l="0" t="0" r="6350" b="0"/>
            <wp:docPr id="1420862678" name="Imagem 142086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8200" cy="516255"/>
                    </a:xfrm>
                    <a:prstGeom prst="rect">
                      <a:avLst/>
                    </a:prstGeom>
                    <a:noFill/>
                    <a:ln>
                      <a:noFill/>
                    </a:ln>
                  </pic:spPr>
                </pic:pic>
              </a:graphicData>
            </a:graphic>
          </wp:inline>
        </w:drawing>
      </w:r>
    </w:p>
    <w:p w14:paraId="05281376" w14:textId="77777777" w:rsidR="00600256" w:rsidRPr="00F25DDD" w:rsidRDefault="00600256" w:rsidP="00600256">
      <w:pPr>
        <w:jc w:val="both"/>
        <w:rPr>
          <w:rFonts w:ascii="Arial" w:hAnsi="Arial" w:cs="Arial"/>
          <w:color w:val="000000"/>
          <w:sz w:val="24"/>
          <w:szCs w:val="24"/>
        </w:rPr>
      </w:pPr>
    </w:p>
    <w:p w14:paraId="6D7F3629" w14:textId="77777777" w:rsidR="00600256" w:rsidRPr="00F25DDD" w:rsidRDefault="00600256" w:rsidP="00600256">
      <w:pPr>
        <w:ind w:left="3403" w:hanging="2323"/>
        <w:jc w:val="both"/>
        <w:rPr>
          <w:rFonts w:ascii="Arial" w:hAnsi="Arial" w:cs="Arial"/>
          <w:i/>
          <w:color w:val="000000"/>
          <w:sz w:val="24"/>
          <w:szCs w:val="24"/>
        </w:rPr>
      </w:pPr>
      <w:r w:rsidRPr="00F25DDD">
        <w:rPr>
          <w:rFonts w:ascii="Arial" w:hAnsi="Arial" w:cs="Arial"/>
          <w:iCs/>
          <w:color w:val="000000"/>
          <w:sz w:val="24"/>
          <w:szCs w:val="24"/>
        </w:rPr>
        <w:t>Em que:</w:t>
      </w:r>
    </w:p>
    <w:tbl>
      <w:tblPr>
        <w:tblW w:w="84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463"/>
        <w:gridCol w:w="6965"/>
      </w:tblGrid>
      <w:tr w:rsidR="00600256" w:rsidRPr="00F25DDD" w14:paraId="0E770D03" w14:textId="77777777" w:rsidTr="0095505F">
        <w:tc>
          <w:tcPr>
            <w:tcW w:w="935" w:type="dxa"/>
            <w:shd w:val="clear" w:color="auto" w:fill="auto"/>
          </w:tcPr>
          <w:p w14:paraId="444DA7C0" w14:textId="77777777" w:rsidR="00600256" w:rsidRPr="00F25DDD" w:rsidRDefault="00600256" w:rsidP="0095505F">
            <w:pPr>
              <w:jc w:val="both"/>
              <w:rPr>
                <w:rFonts w:ascii="Arial" w:hAnsi="Arial" w:cs="Arial"/>
                <w:i/>
                <w:color w:val="000000"/>
                <w:sz w:val="24"/>
                <w:szCs w:val="24"/>
              </w:rPr>
            </w:pPr>
            <w:r w:rsidRPr="00F25DDD">
              <w:rPr>
                <w:rFonts w:ascii="Arial" w:hAnsi="Arial" w:cs="Arial"/>
                <w:i/>
                <w:color w:val="000000"/>
                <w:sz w:val="24"/>
                <w:szCs w:val="24"/>
              </w:rPr>
              <w:t>n</w:t>
            </w:r>
            <w:r w:rsidRPr="00F25DDD">
              <w:rPr>
                <w:rFonts w:ascii="Arial" w:hAnsi="Arial" w:cs="Arial"/>
                <w:i/>
                <w:color w:val="000000"/>
                <w:sz w:val="24"/>
                <w:szCs w:val="24"/>
                <w:vertAlign w:val="subscript"/>
              </w:rPr>
              <w:t>Selic</w:t>
            </w:r>
          </w:p>
        </w:tc>
        <w:tc>
          <w:tcPr>
            <w:tcW w:w="464" w:type="dxa"/>
            <w:shd w:val="clear" w:color="auto" w:fill="auto"/>
          </w:tcPr>
          <w:p w14:paraId="7229371B" w14:textId="77777777" w:rsidR="00600256" w:rsidRPr="00F25DDD" w:rsidRDefault="00600256" w:rsidP="0095505F">
            <w:pPr>
              <w:jc w:val="both"/>
              <w:rPr>
                <w:rFonts w:ascii="Arial" w:hAnsi="Arial" w:cs="Arial"/>
                <w:i/>
                <w:color w:val="000000"/>
                <w:sz w:val="24"/>
                <w:szCs w:val="24"/>
              </w:rPr>
            </w:pPr>
            <w:r w:rsidRPr="00F25DDD">
              <w:rPr>
                <w:rFonts w:ascii="Arial" w:hAnsi="Arial" w:cs="Arial"/>
                <w:i/>
                <w:color w:val="000000"/>
                <w:sz w:val="24"/>
                <w:szCs w:val="24"/>
              </w:rPr>
              <w:t>=</w:t>
            </w:r>
          </w:p>
        </w:tc>
        <w:tc>
          <w:tcPr>
            <w:tcW w:w="7001" w:type="dxa"/>
            <w:shd w:val="clear" w:color="auto" w:fill="auto"/>
          </w:tcPr>
          <w:p w14:paraId="3233F627"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número inteiro equivalente ao número total de Taxas SELIC;</w:t>
            </w:r>
          </w:p>
        </w:tc>
      </w:tr>
      <w:tr w:rsidR="00600256" w:rsidRPr="00F25DDD" w14:paraId="7F178791" w14:textId="77777777" w:rsidTr="0095505F">
        <w:tc>
          <w:tcPr>
            <w:tcW w:w="935" w:type="dxa"/>
            <w:shd w:val="clear" w:color="auto" w:fill="auto"/>
          </w:tcPr>
          <w:p w14:paraId="083AF393" w14:textId="77777777" w:rsidR="00600256" w:rsidRPr="00F25DDD" w:rsidRDefault="00600256" w:rsidP="0095505F">
            <w:pPr>
              <w:jc w:val="both"/>
              <w:rPr>
                <w:rFonts w:ascii="Arial" w:hAnsi="Arial" w:cs="Arial"/>
                <w:i/>
                <w:color w:val="000000"/>
                <w:sz w:val="24"/>
                <w:szCs w:val="24"/>
              </w:rPr>
            </w:pPr>
            <w:r w:rsidRPr="00F25DDD">
              <w:rPr>
                <w:rFonts w:ascii="Arial" w:hAnsi="Arial" w:cs="Arial"/>
                <w:i/>
                <w:color w:val="000000"/>
                <w:sz w:val="24"/>
                <w:szCs w:val="24"/>
              </w:rPr>
              <w:t>TSelic</w:t>
            </w:r>
            <w:r w:rsidRPr="00F25DDD">
              <w:rPr>
                <w:rFonts w:ascii="Arial" w:hAnsi="Arial" w:cs="Arial"/>
                <w:i/>
                <w:color w:val="000000"/>
                <w:sz w:val="24"/>
                <w:szCs w:val="24"/>
                <w:vertAlign w:val="subscript"/>
              </w:rPr>
              <w:t>L</w:t>
            </w:r>
          </w:p>
        </w:tc>
        <w:tc>
          <w:tcPr>
            <w:tcW w:w="464" w:type="dxa"/>
            <w:shd w:val="clear" w:color="auto" w:fill="auto"/>
          </w:tcPr>
          <w:p w14:paraId="589F0CD1" w14:textId="77777777" w:rsidR="00600256" w:rsidRPr="00F25DDD" w:rsidRDefault="00600256" w:rsidP="0095505F">
            <w:pPr>
              <w:jc w:val="both"/>
              <w:rPr>
                <w:rFonts w:ascii="Arial" w:hAnsi="Arial" w:cs="Arial"/>
                <w:i/>
                <w:color w:val="000000"/>
                <w:sz w:val="24"/>
                <w:szCs w:val="24"/>
              </w:rPr>
            </w:pPr>
            <w:r w:rsidRPr="00F25DDD">
              <w:rPr>
                <w:rFonts w:ascii="Arial" w:hAnsi="Arial" w:cs="Arial"/>
                <w:i/>
                <w:color w:val="000000"/>
                <w:sz w:val="24"/>
                <w:szCs w:val="24"/>
              </w:rPr>
              <w:t>=</w:t>
            </w:r>
          </w:p>
        </w:tc>
        <w:tc>
          <w:tcPr>
            <w:tcW w:w="7001" w:type="dxa"/>
            <w:shd w:val="clear" w:color="auto" w:fill="auto"/>
          </w:tcPr>
          <w:p w14:paraId="68BB9387"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 xml:space="preserve"> Taxa SELIC, defasada de 10 (dez) dias úteis em relação ao dia “L”, expressa ao dia, apurada da seguinte forma:</w:t>
            </w:r>
          </w:p>
        </w:tc>
      </w:tr>
    </w:tbl>
    <w:p w14:paraId="44B8CA99" w14:textId="77777777" w:rsidR="00600256" w:rsidRPr="00F25DDD" w:rsidRDefault="00600256" w:rsidP="00600256">
      <w:pPr>
        <w:ind w:left="2833"/>
        <w:jc w:val="both"/>
        <w:rPr>
          <w:rFonts w:ascii="Arial" w:hAnsi="Arial" w:cs="Arial"/>
          <w:i/>
          <w:color w:val="000000"/>
          <w:sz w:val="24"/>
          <w:szCs w:val="24"/>
        </w:rPr>
      </w:pPr>
    </w:p>
    <w:p w14:paraId="0041326B" w14:textId="77777777" w:rsidR="00600256" w:rsidRPr="00F25DDD" w:rsidRDefault="00600256" w:rsidP="00600256">
      <w:pPr>
        <w:ind w:left="1134"/>
        <w:jc w:val="center"/>
        <w:rPr>
          <w:rFonts w:ascii="Arial" w:hAnsi="Arial" w:cs="Arial"/>
          <w:color w:val="000000"/>
          <w:sz w:val="24"/>
          <w:szCs w:val="24"/>
        </w:rPr>
      </w:pPr>
      <w:r w:rsidRPr="00F25DDD">
        <w:rPr>
          <w:rFonts w:ascii="Arial" w:hAnsi="Arial" w:cs="Arial"/>
          <w:i/>
          <w:noProof/>
          <w:color w:val="000000"/>
          <w:position w:val="-44"/>
          <w:sz w:val="24"/>
          <w:szCs w:val="24"/>
        </w:rPr>
        <w:drawing>
          <wp:inline distT="0" distB="0" distL="0" distR="0" wp14:anchorId="462A36F8" wp14:editId="5C8BB171">
            <wp:extent cx="1913255" cy="635000"/>
            <wp:effectExtent l="0" t="0" r="0" b="0"/>
            <wp:docPr id="593435957" name="Imagem 59343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3255" cy="635000"/>
                    </a:xfrm>
                    <a:prstGeom prst="rect">
                      <a:avLst/>
                    </a:prstGeom>
                    <a:noFill/>
                    <a:ln>
                      <a:noFill/>
                    </a:ln>
                  </pic:spPr>
                </pic:pic>
              </a:graphicData>
            </a:graphic>
          </wp:inline>
        </w:drawing>
      </w:r>
    </w:p>
    <w:p w14:paraId="6037D663" w14:textId="77777777" w:rsidR="00600256" w:rsidRPr="00F25DDD" w:rsidRDefault="00600256" w:rsidP="00600256">
      <w:pPr>
        <w:ind w:left="1080"/>
        <w:jc w:val="both"/>
        <w:rPr>
          <w:rFonts w:ascii="Arial" w:hAnsi="Arial" w:cs="Arial"/>
          <w:iCs/>
          <w:color w:val="000000"/>
          <w:sz w:val="24"/>
          <w:szCs w:val="24"/>
        </w:rPr>
      </w:pPr>
    </w:p>
    <w:p w14:paraId="5928718D" w14:textId="77777777" w:rsidR="00600256" w:rsidRPr="00F25DDD" w:rsidRDefault="00600256" w:rsidP="00600256">
      <w:pPr>
        <w:ind w:left="1080"/>
        <w:jc w:val="both"/>
        <w:rPr>
          <w:rFonts w:ascii="Arial" w:hAnsi="Arial" w:cs="Arial"/>
          <w:iCs/>
          <w:color w:val="000000"/>
          <w:sz w:val="24"/>
          <w:szCs w:val="24"/>
        </w:rPr>
      </w:pPr>
    </w:p>
    <w:p w14:paraId="7F99116D" w14:textId="77777777" w:rsidR="00600256" w:rsidRPr="00F25DDD" w:rsidRDefault="00600256" w:rsidP="00600256">
      <w:pPr>
        <w:ind w:left="1080"/>
        <w:jc w:val="both"/>
        <w:rPr>
          <w:rFonts w:ascii="Arial" w:hAnsi="Arial" w:cs="Arial"/>
          <w:iCs/>
          <w:color w:val="000000"/>
          <w:sz w:val="24"/>
          <w:szCs w:val="24"/>
        </w:rPr>
      </w:pPr>
      <w:r w:rsidRPr="00F25DDD">
        <w:rPr>
          <w:rFonts w:ascii="Arial" w:hAnsi="Arial" w:cs="Arial"/>
          <w:iCs/>
          <w:color w:val="000000"/>
          <w:sz w:val="24"/>
          <w:szCs w:val="24"/>
        </w:rPr>
        <w:t>Em que:</w:t>
      </w:r>
    </w:p>
    <w:p w14:paraId="2E3E6F52" w14:textId="77777777" w:rsidR="00600256" w:rsidRPr="00F25DDD" w:rsidRDefault="00600256" w:rsidP="00600256">
      <w:pPr>
        <w:ind w:left="2833"/>
        <w:jc w:val="both"/>
        <w:rPr>
          <w:rFonts w:ascii="Arial" w:hAnsi="Arial" w:cs="Arial"/>
          <w:i/>
          <w:color w:val="000000"/>
          <w:sz w:val="24"/>
          <w:szCs w:val="24"/>
        </w:rPr>
      </w:pPr>
    </w:p>
    <w:tbl>
      <w:tblPr>
        <w:tblW w:w="84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464"/>
        <w:gridCol w:w="6833"/>
      </w:tblGrid>
      <w:tr w:rsidR="00600256" w:rsidRPr="00F25DDD" w14:paraId="480F2753" w14:textId="77777777" w:rsidTr="0095505F">
        <w:tc>
          <w:tcPr>
            <w:tcW w:w="1103" w:type="dxa"/>
            <w:shd w:val="clear" w:color="auto" w:fill="auto"/>
          </w:tcPr>
          <w:p w14:paraId="2C4165D8" w14:textId="77777777" w:rsidR="00600256" w:rsidRPr="00F25DDD" w:rsidRDefault="00600256" w:rsidP="0095505F">
            <w:pPr>
              <w:jc w:val="both"/>
              <w:rPr>
                <w:rFonts w:ascii="Arial" w:hAnsi="Arial" w:cs="Arial"/>
                <w:i/>
                <w:color w:val="000000"/>
                <w:sz w:val="24"/>
                <w:szCs w:val="24"/>
              </w:rPr>
            </w:pPr>
            <w:r w:rsidRPr="00F25DDD">
              <w:rPr>
                <w:rFonts w:ascii="Arial" w:hAnsi="Arial" w:cs="Arial"/>
                <w:i/>
                <w:color w:val="000000"/>
                <w:sz w:val="24"/>
                <w:szCs w:val="24"/>
              </w:rPr>
              <w:t>L</w:t>
            </w:r>
          </w:p>
        </w:tc>
        <w:tc>
          <w:tcPr>
            <w:tcW w:w="464" w:type="dxa"/>
            <w:shd w:val="clear" w:color="auto" w:fill="auto"/>
          </w:tcPr>
          <w:p w14:paraId="63ECED21" w14:textId="77777777" w:rsidR="00600256" w:rsidRPr="00F25DDD" w:rsidRDefault="00600256" w:rsidP="0095505F">
            <w:pPr>
              <w:jc w:val="both"/>
              <w:rPr>
                <w:rFonts w:ascii="Arial" w:hAnsi="Arial" w:cs="Arial"/>
                <w:i/>
                <w:color w:val="000000"/>
                <w:sz w:val="24"/>
                <w:szCs w:val="24"/>
              </w:rPr>
            </w:pPr>
            <w:r w:rsidRPr="00F25DDD">
              <w:rPr>
                <w:rFonts w:ascii="Arial" w:hAnsi="Arial" w:cs="Arial"/>
                <w:i/>
                <w:color w:val="000000"/>
                <w:sz w:val="24"/>
                <w:szCs w:val="24"/>
              </w:rPr>
              <w:t>=</w:t>
            </w:r>
          </w:p>
        </w:tc>
        <w:tc>
          <w:tcPr>
            <w:tcW w:w="6833" w:type="dxa"/>
            <w:shd w:val="clear" w:color="auto" w:fill="auto"/>
          </w:tcPr>
          <w:p w14:paraId="1351E6C7"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número inteiro equivalente ao dia (1, 2, ..., n);</w:t>
            </w:r>
          </w:p>
        </w:tc>
      </w:tr>
      <w:tr w:rsidR="00600256" w:rsidRPr="00F25DDD" w14:paraId="1AB348D7" w14:textId="77777777" w:rsidTr="0095505F">
        <w:tc>
          <w:tcPr>
            <w:tcW w:w="1103" w:type="dxa"/>
            <w:shd w:val="clear" w:color="auto" w:fill="auto"/>
          </w:tcPr>
          <w:p w14:paraId="08647C7D" w14:textId="77777777" w:rsidR="00600256" w:rsidRPr="00F25DDD" w:rsidRDefault="00600256" w:rsidP="0095505F">
            <w:pPr>
              <w:jc w:val="both"/>
              <w:rPr>
                <w:rFonts w:ascii="Arial" w:hAnsi="Arial" w:cs="Arial"/>
                <w:i/>
                <w:color w:val="000000"/>
                <w:sz w:val="24"/>
                <w:szCs w:val="24"/>
              </w:rPr>
            </w:pPr>
            <w:r w:rsidRPr="00F25DDD">
              <w:rPr>
                <w:rFonts w:ascii="Arial" w:hAnsi="Arial" w:cs="Arial"/>
                <w:i/>
                <w:color w:val="000000"/>
                <w:sz w:val="24"/>
                <w:szCs w:val="24"/>
              </w:rPr>
              <w:t>Selic</w:t>
            </w:r>
            <w:r w:rsidRPr="00F25DDD">
              <w:rPr>
                <w:rFonts w:ascii="Arial" w:hAnsi="Arial" w:cs="Arial"/>
                <w:i/>
                <w:color w:val="000000"/>
                <w:sz w:val="24"/>
                <w:szCs w:val="24"/>
                <w:vertAlign w:val="subscript"/>
              </w:rPr>
              <w:t>L</w:t>
            </w:r>
          </w:p>
        </w:tc>
        <w:tc>
          <w:tcPr>
            <w:tcW w:w="464" w:type="dxa"/>
            <w:shd w:val="clear" w:color="auto" w:fill="auto"/>
          </w:tcPr>
          <w:p w14:paraId="12087904" w14:textId="77777777" w:rsidR="00600256" w:rsidRPr="00F25DDD" w:rsidRDefault="00600256" w:rsidP="0095505F">
            <w:pPr>
              <w:jc w:val="both"/>
              <w:rPr>
                <w:rFonts w:ascii="Arial" w:hAnsi="Arial" w:cs="Arial"/>
                <w:i/>
                <w:color w:val="000000"/>
                <w:sz w:val="24"/>
                <w:szCs w:val="24"/>
              </w:rPr>
            </w:pPr>
            <w:r w:rsidRPr="00F25DDD">
              <w:rPr>
                <w:rFonts w:ascii="Arial" w:hAnsi="Arial" w:cs="Arial"/>
                <w:i/>
                <w:color w:val="000000"/>
                <w:sz w:val="24"/>
                <w:szCs w:val="24"/>
              </w:rPr>
              <w:t>=</w:t>
            </w:r>
          </w:p>
        </w:tc>
        <w:tc>
          <w:tcPr>
            <w:tcW w:w="6833" w:type="dxa"/>
            <w:shd w:val="clear" w:color="auto" w:fill="auto"/>
          </w:tcPr>
          <w:p w14:paraId="6A174B5E" w14:textId="77777777" w:rsidR="00600256" w:rsidRPr="00F25DDD" w:rsidRDefault="00600256" w:rsidP="0095505F">
            <w:pPr>
              <w:jc w:val="both"/>
              <w:rPr>
                <w:rFonts w:ascii="Arial" w:hAnsi="Arial" w:cs="Arial"/>
                <w:color w:val="000000"/>
                <w:sz w:val="24"/>
                <w:szCs w:val="24"/>
              </w:rPr>
            </w:pPr>
            <w:r w:rsidRPr="00F25DDD">
              <w:rPr>
                <w:rFonts w:ascii="Arial" w:hAnsi="Arial" w:cs="Arial"/>
                <w:color w:val="000000"/>
                <w:sz w:val="24"/>
                <w:szCs w:val="24"/>
              </w:rPr>
              <w:t>Taxa SELIC, expressa ao ano (base de 252 dias úteis), defasada de 10 (dez) dias úteis em relação ao dia “L”; divulgada pelo Banco Central do Brasil;</w:t>
            </w:r>
          </w:p>
        </w:tc>
      </w:tr>
    </w:tbl>
    <w:p w14:paraId="6AFE24F6" w14:textId="77777777" w:rsidR="00600256" w:rsidRPr="00797A8C" w:rsidRDefault="00600256" w:rsidP="00600256">
      <w:pPr>
        <w:spacing w:before="120" w:after="120"/>
        <w:jc w:val="both"/>
        <w:rPr>
          <w:rFonts w:ascii="Arial" w:hAnsi="Arial" w:cs="Arial"/>
          <w:color w:val="000000"/>
          <w:sz w:val="24"/>
          <w:szCs w:val="24"/>
        </w:rPr>
      </w:pPr>
    </w:p>
    <w:p w14:paraId="32DCEECC" w14:textId="77777777" w:rsidR="00600256" w:rsidRPr="00B82233" w:rsidRDefault="00600256" w:rsidP="00600256">
      <w:pPr>
        <w:spacing w:before="120" w:after="120"/>
        <w:jc w:val="both"/>
        <w:rPr>
          <w:rFonts w:ascii="Arial" w:hAnsi="Arial" w:cs="Arial"/>
          <w:sz w:val="24"/>
          <w:szCs w:val="24"/>
        </w:rPr>
      </w:pPr>
      <w:r w:rsidRPr="00797A8C">
        <w:rPr>
          <w:rFonts w:ascii="Arial" w:hAnsi="Arial" w:cs="Arial"/>
          <w:color w:val="000000"/>
          <w:sz w:val="24"/>
          <w:szCs w:val="24"/>
        </w:rPr>
        <w:t>Define-se "Período de Juros" como sendo o intervalo de tempo que se inicia na data da primeira liberação do crédito, no caso do primeiro período, ou na data prevista do p</w:t>
      </w:r>
      <w:r w:rsidRPr="00050EC3">
        <w:rPr>
          <w:rFonts w:ascii="Arial" w:hAnsi="Arial" w:cs="Arial"/>
          <w:color w:val="000000"/>
          <w:sz w:val="24"/>
          <w:szCs w:val="24"/>
        </w:rPr>
        <w:t>agamento dos juros imediatamente anterior, no caso dos demais, e termina na data prevista do pagamento de juros correspondente ao período, sendo que cada Período de Juros sucede o anterior sem solução de continuidade.</w:t>
      </w:r>
    </w:p>
    <w:p w14:paraId="60C1E4A5" w14:textId="77777777" w:rsidR="00600256" w:rsidRPr="00050EC3" w:rsidRDefault="00600256" w:rsidP="00600256">
      <w:pPr>
        <w:tabs>
          <w:tab w:val="left" w:pos="1320"/>
        </w:tabs>
        <w:spacing w:after="120"/>
        <w:ind w:left="1320" w:hanging="720"/>
        <w:jc w:val="both"/>
        <w:rPr>
          <w:rFonts w:ascii="Arial" w:hAnsi="Arial" w:cs="Arial"/>
          <w:color w:val="000000"/>
          <w:sz w:val="24"/>
          <w:szCs w:val="24"/>
        </w:rPr>
      </w:pPr>
      <w:r w:rsidRPr="00797A8C">
        <w:rPr>
          <w:rFonts w:ascii="Arial" w:hAnsi="Arial" w:cs="Arial"/>
          <w:color w:val="000000"/>
          <w:sz w:val="24"/>
          <w:szCs w:val="24"/>
        </w:rPr>
        <w:lastRenderedPageBreak/>
        <w:t xml:space="preserve">           A Taxa SELIC deverá ser utilizada considerando idêntico número de casas decimais divulgado pelo órgão responsável pelo seu cálculo</w:t>
      </w:r>
      <w:r w:rsidRPr="00050EC3">
        <w:rPr>
          <w:rFonts w:ascii="Arial" w:hAnsi="Arial" w:cs="Arial"/>
          <w:color w:val="000000"/>
          <w:sz w:val="24"/>
          <w:szCs w:val="24"/>
        </w:rPr>
        <w:t>.</w:t>
      </w:r>
    </w:p>
    <w:p w14:paraId="096D744C" w14:textId="77777777" w:rsidR="00600256" w:rsidRPr="007A4415" w:rsidRDefault="00600256" w:rsidP="00600256">
      <w:pPr>
        <w:tabs>
          <w:tab w:val="left" w:pos="1320"/>
        </w:tabs>
        <w:spacing w:after="120"/>
        <w:ind w:left="1320" w:hanging="720"/>
        <w:jc w:val="both"/>
        <w:rPr>
          <w:rFonts w:ascii="Arial" w:hAnsi="Arial" w:cs="Arial"/>
          <w:color w:val="000000"/>
          <w:sz w:val="24"/>
          <w:szCs w:val="24"/>
        </w:rPr>
      </w:pPr>
      <w:r w:rsidRPr="007A4415">
        <w:rPr>
          <w:rFonts w:ascii="Arial" w:hAnsi="Arial" w:cs="Arial"/>
          <w:color w:val="000000"/>
          <w:sz w:val="24"/>
          <w:szCs w:val="24"/>
        </w:rPr>
        <w:t xml:space="preserve">           No caso de indisponibilidade temporária da Taxa SELIC quando do pagamento de qualquer obrigação pecuniária prevista no Contrato, será utilizada a última Taxa SELIC conhecida até a data do cálculo, não sendo devidas quaisquer compensações financeiras tanto pelo credor quanto pelo devedor, quando da divulgação posterior da Taxa SELIC, observado o disposto no parágrafo abaixo.</w:t>
      </w:r>
    </w:p>
    <w:p w14:paraId="47133FBB" w14:textId="77777777" w:rsidR="00600256" w:rsidRPr="00797A8C" w:rsidRDefault="00600256" w:rsidP="00600256">
      <w:pPr>
        <w:tabs>
          <w:tab w:val="left" w:pos="1320"/>
        </w:tabs>
        <w:spacing w:after="120"/>
        <w:ind w:left="1320" w:hanging="720"/>
        <w:jc w:val="both"/>
        <w:rPr>
          <w:rFonts w:ascii="Arial" w:hAnsi="Arial" w:cs="Arial"/>
          <w:color w:val="000000"/>
          <w:sz w:val="24"/>
          <w:szCs w:val="24"/>
        </w:rPr>
      </w:pPr>
      <w:r w:rsidRPr="00F01F75">
        <w:rPr>
          <w:rFonts w:ascii="Arial" w:hAnsi="Arial" w:cs="Arial"/>
          <w:color w:val="000000"/>
          <w:sz w:val="24"/>
          <w:szCs w:val="24"/>
        </w:rPr>
        <w:t xml:space="preserve">           Na hipótese de indisponibilidade da Taxa SELIC, a que se refere o parágrafo anterior, por período superior a 60 (sessenta) dias ou de extinção da Taxa SELIC, pela superveniência de normas legais ou regulamentares, ou alteração dos critérios de sua aplicação, o Sistema BNDES escolherá um índice substituto que melhor preserve o valor real da operação e a remunere nos mesmos níveis anteriores. </w:t>
      </w:r>
      <w:r w:rsidRPr="00B82233">
        <w:rPr>
          <w:rFonts w:ascii="Arial" w:hAnsi="Arial" w:cs="Arial"/>
          <w:sz w:val="24"/>
          <w:szCs w:val="24"/>
        </w:rPr>
        <w:t xml:space="preserve">Nesse caso, a INSTITUIÇÃO FINANCEIRA CREDENCIADA comunicará a alteração por escrito, </w:t>
      </w:r>
      <w:r>
        <w:rPr>
          <w:rFonts w:ascii="Arial" w:hAnsi="Arial" w:cs="Arial"/>
          <w:sz w:val="24"/>
          <w:szCs w:val="24"/>
        </w:rPr>
        <w:t>ao</w:t>
      </w:r>
      <w:r w:rsidRPr="00B82233">
        <w:rPr>
          <w:rFonts w:ascii="Arial" w:hAnsi="Arial" w:cs="Arial"/>
          <w:sz w:val="24"/>
          <w:szCs w:val="24"/>
        </w:rPr>
        <w:t xml:space="preserve"> </w:t>
      </w:r>
      <w:r>
        <w:rPr>
          <w:rFonts w:ascii="Arial" w:hAnsi="Arial" w:cs="Arial"/>
          <w:sz w:val="24"/>
          <w:szCs w:val="24"/>
        </w:rPr>
        <w:t>CLIENTE</w:t>
      </w:r>
      <w:r w:rsidRPr="00797A8C">
        <w:rPr>
          <w:rFonts w:ascii="Arial" w:hAnsi="Arial" w:cs="Arial"/>
          <w:color w:val="000000"/>
          <w:sz w:val="24"/>
          <w:szCs w:val="24"/>
        </w:rPr>
        <w:t xml:space="preserve">. </w:t>
      </w:r>
    </w:p>
    <w:p w14:paraId="1A79899E" w14:textId="4880C4A5" w:rsidR="00C10B74" w:rsidRPr="00B82233" w:rsidRDefault="00600256" w:rsidP="00600256">
      <w:pPr>
        <w:jc w:val="both"/>
        <w:rPr>
          <w:rFonts w:ascii="Arial" w:hAnsi="Arial" w:cs="Arial"/>
          <w:sz w:val="24"/>
          <w:szCs w:val="24"/>
        </w:rPr>
      </w:pPr>
      <w:r w:rsidRPr="00050EC3">
        <w:rPr>
          <w:rFonts w:ascii="Arial" w:hAnsi="Arial" w:cs="Arial"/>
          <w:color w:val="000000"/>
          <w:sz w:val="24"/>
          <w:szCs w:val="24"/>
        </w:rPr>
        <w:t xml:space="preserve">           O montante apurado, nos termos da Cláusula de Juros, será exigível ................ [trimestral/</w:t>
      </w:r>
      <w:r w:rsidRPr="00D024A8">
        <w:rPr>
          <w:rFonts w:ascii="Arial" w:hAnsi="Arial" w:cs="Arial"/>
          <w:color w:val="000000"/>
          <w:sz w:val="24"/>
          <w:szCs w:val="24"/>
        </w:rPr>
        <w:t>semestral/anualmente], durante o prazo de carência, e ................ [mensal/semestral/anualmente], durante o período de amortização, juntamente com as parcelas de amortização do principal e no vencimento ou liquidação do Contrato, observado o disposto na Cláusula item “VENCIMENTO EM DIAS FERIADOS”.</w:t>
      </w:r>
    </w:p>
    <w:p w14:paraId="6A0473EB" w14:textId="34C22375" w:rsidR="002148F3" w:rsidRDefault="00C10B74" w:rsidP="002148F3">
      <w:pPr>
        <w:pStyle w:val="BNDES"/>
        <w:spacing w:before="120" w:after="120"/>
        <w:rPr>
          <w:rFonts w:cs="Arial"/>
          <w:b/>
          <w:bCs/>
          <w:u w:val="single"/>
        </w:rPr>
      </w:pPr>
      <w:r>
        <w:rPr>
          <w:rFonts w:cs="Arial"/>
          <w:b/>
          <w:bCs/>
          <w:u w:val="single"/>
        </w:rPr>
        <w:br w:type="page"/>
      </w:r>
    </w:p>
    <w:p w14:paraId="151554BF" w14:textId="7AC50781" w:rsidR="002148F3" w:rsidRPr="00963F6D" w:rsidRDefault="00963F6D" w:rsidP="00B82233">
      <w:pPr>
        <w:pStyle w:val="BNDES"/>
        <w:numPr>
          <w:ilvl w:val="0"/>
          <w:numId w:val="49"/>
        </w:numPr>
        <w:ind w:left="709" w:hanging="709"/>
        <w:rPr>
          <w:rFonts w:cs="Arial"/>
          <w:b/>
          <w:szCs w:val="24"/>
          <w:u w:val="single"/>
        </w:rPr>
      </w:pPr>
      <w:r w:rsidRPr="00D91542">
        <w:rPr>
          <w:rFonts w:cs="Arial"/>
          <w:b/>
          <w:bCs/>
          <w:u w:val="single"/>
        </w:rPr>
        <w:t>Cláusulas específicas que deverão constar nos instrumentos jurídicos que formalizam a operação de crédito com Custo Financeiro em TFBD</w:t>
      </w:r>
      <w:r w:rsidR="00C53317" w:rsidRPr="00C53317">
        <w:rPr>
          <w:rFonts w:cs="Arial"/>
          <w:b/>
          <w:bCs/>
        </w:rPr>
        <w:t xml:space="preserve"> </w:t>
      </w:r>
      <w:r w:rsidR="00C53317">
        <w:rPr>
          <w:rFonts w:cs="Arial"/>
          <w:b/>
          <w:i/>
          <w:color w:val="000099"/>
          <w:sz w:val="20"/>
          <w:szCs w:val="24"/>
        </w:rPr>
        <w:t>(Incluído pela Circular SUP/ADIG Nº 12/2023-BNDES, de 27.04.2023</w:t>
      </w:r>
      <w:r w:rsidR="00C10B74">
        <w:rPr>
          <w:rFonts w:cs="Arial"/>
          <w:b/>
          <w:i/>
          <w:color w:val="000099"/>
          <w:sz w:val="20"/>
          <w:szCs w:val="24"/>
        </w:rPr>
        <w:t xml:space="preserve"> e renumerado pela Circular SUP/ADIG Nº 20/2025-BNDES, de 10.03.2025</w:t>
      </w:r>
      <w:r w:rsidR="00C53317">
        <w:rPr>
          <w:rFonts w:cs="Arial"/>
          <w:b/>
          <w:i/>
          <w:color w:val="000099"/>
          <w:sz w:val="20"/>
          <w:szCs w:val="24"/>
        </w:rPr>
        <w:t>)</w:t>
      </w:r>
    </w:p>
    <w:p w14:paraId="776E426B" w14:textId="77777777" w:rsidR="00963F6D" w:rsidRDefault="00963F6D" w:rsidP="00963F6D">
      <w:pPr>
        <w:pStyle w:val="BNDES"/>
        <w:rPr>
          <w:rFonts w:cs="Arial"/>
          <w:b/>
          <w:szCs w:val="24"/>
          <w:u w:val="single"/>
        </w:rPr>
      </w:pPr>
    </w:p>
    <w:p w14:paraId="0B7F45BF" w14:textId="77777777" w:rsidR="00963F6D" w:rsidRPr="00AC33D1" w:rsidRDefault="00963F6D" w:rsidP="00C53317">
      <w:pPr>
        <w:pStyle w:val="BNDES"/>
        <w:spacing w:before="120" w:after="120"/>
        <w:rPr>
          <w:rFonts w:cs="Arial"/>
          <w:szCs w:val="24"/>
        </w:rPr>
      </w:pPr>
      <w:r w:rsidRPr="00AC33D1">
        <w:rPr>
          <w:rFonts w:cs="Arial"/>
          <w:szCs w:val="24"/>
          <w:u w:val="single"/>
        </w:rPr>
        <w:t>VALOR DO CRÉDITO</w:t>
      </w:r>
      <w:r w:rsidRPr="00AC33D1">
        <w:rPr>
          <w:rFonts w:cs="Arial"/>
          <w:szCs w:val="24"/>
        </w:rPr>
        <w:t xml:space="preserve">: </w:t>
      </w:r>
      <w:r w:rsidRPr="00AC33D1">
        <w:rPr>
          <w:rFonts w:cs="Arial"/>
        </w:rPr>
        <w:t>R$ ............. (............... reais)</w:t>
      </w:r>
      <w:r w:rsidRPr="00AC33D1">
        <w:rPr>
          <w:rFonts w:cs="Arial"/>
          <w:b/>
          <w:bCs/>
        </w:rPr>
        <w:t>,</w:t>
      </w:r>
      <w:r w:rsidRPr="00AC33D1">
        <w:rPr>
          <w:rFonts w:cs="Arial"/>
        </w:rPr>
        <w:t xml:space="preserve"> à conta do Contrato de Abertura de Crédito (CAC), celebrado entre o Sistema BNDES e INSTITUIÇÕES FINANCEIRAS CREDENCIADAS, a ser provido com recursos captados pelo BNDES em moeda estrangeira.</w:t>
      </w:r>
    </w:p>
    <w:p w14:paraId="2CA3607E" w14:textId="77777777" w:rsidR="00963F6D" w:rsidRPr="00AC33D1" w:rsidRDefault="00963F6D" w:rsidP="00963F6D">
      <w:pPr>
        <w:pStyle w:val="BNDES"/>
        <w:ind w:left="567"/>
        <w:rPr>
          <w:rFonts w:cs="Arial"/>
          <w:szCs w:val="24"/>
          <w:u w:val="single"/>
        </w:rPr>
      </w:pPr>
    </w:p>
    <w:p w14:paraId="12B98CC8" w14:textId="77777777" w:rsidR="00963F6D" w:rsidRPr="00AC33D1" w:rsidRDefault="00963F6D" w:rsidP="00C53317">
      <w:pPr>
        <w:pStyle w:val="BNDES"/>
        <w:rPr>
          <w:rFonts w:cs="Arial"/>
          <w:szCs w:val="24"/>
        </w:rPr>
      </w:pPr>
      <w:r w:rsidRPr="00AC33D1">
        <w:rPr>
          <w:rFonts w:cs="Arial"/>
          <w:szCs w:val="24"/>
          <w:u w:val="single"/>
        </w:rPr>
        <w:t>JUROS</w:t>
      </w:r>
      <w:r w:rsidRPr="00AC33D1">
        <w:rPr>
          <w:rFonts w:cs="Arial"/>
          <w:szCs w:val="24"/>
        </w:rPr>
        <w:t>: Os juros são devidos às seguintes taxas, observada a sistemática estabelecida nas condições adiante:</w:t>
      </w:r>
    </w:p>
    <w:p w14:paraId="735A8150" w14:textId="77777777" w:rsidR="00963F6D" w:rsidRPr="00AC33D1" w:rsidRDefault="00963F6D" w:rsidP="00963F6D">
      <w:pPr>
        <w:pStyle w:val="Corpodetexto3"/>
        <w:rPr>
          <w:rFonts w:cs="Arial"/>
          <w:szCs w:val="24"/>
        </w:rPr>
      </w:pPr>
    </w:p>
    <w:p w14:paraId="721FBDCA" w14:textId="77777777" w:rsidR="00963F6D" w:rsidRPr="00AC33D1" w:rsidRDefault="00963F6D" w:rsidP="00C53317">
      <w:pPr>
        <w:pStyle w:val="BNDES"/>
        <w:rPr>
          <w:rFonts w:cs="Arial"/>
          <w:szCs w:val="24"/>
        </w:rPr>
      </w:pPr>
      <w:r w:rsidRPr="00AC33D1">
        <w:rPr>
          <w:rFonts w:cs="Arial"/>
          <w:szCs w:val="24"/>
        </w:rPr>
        <w:t xml:space="preserve">I - </w:t>
      </w:r>
      <w:r w:rsidRPr="00AC33D1">
        <w:rPr>
          <w:rFonts w:cs="Arial"/>
          <w:szCs w:val="24"/>
          <w:u w:val="single"/>
        </w:rPr>
        <w:t>a serem cobrados à INSTITUIÇÃO FINANCEIRA CREDENCIADA pelo Sistema BNDES</w:t>
      </w:r>
      <w:r w:rsidRPr="00AC33D1">
        <w:rPr>
          <w:rFonts w:cs="Arial"/>
          <w:szCs w:val="24"/>
        </w:rPr>
        <w:t xml:space="preserve">: </w:t>
      </w:r>
    </w:p>
    <w:p w14:paraId="46C0E598" w14:textId="77777777" w:rsidR="00963F6D" w:rsidRPr="00AC33D1" w:rsidRDefault="00963F6D" w:rsidP="00963F6D">
      <w:pPr>
        <w:pStyle w:val="BNDES"/>
        <w:ind w:left="567"/>
        <w:rPr>
          <w:rFonts w:cs="Arial"/>
          <w:szCs w:val="24"/>
        </w:rPr>
      </w:pPr>
    </w:p>
    <w:p w14:paraId="7134D1C1" w14:textId="77777777" w:rsidR="00963F6D" w:rsidRPr="00AC33D1" w:rsidRDefault="00963F6D" w:rsidP="00C53317">
      <w:pPr>
        <w:pStyle w:val="BNDES"/>
        <w:rPr>
          <w:rFonts w:cs="Arial"/>
          <w:szCs w:val="24"/>
        </w:rPr>
      </w:pPr>
      <w:r w:rsidRPr="00AC33D1">
        <w:rPr>
          <w:rFonts w:cs="Arial"/>
          <w:szCs w:val="24"/>
        </w:rPr>
        <w:t xml:space="preserve">....% (....... por cento) ao ano (a título de remuneração), somado com a Taxa Fixa BNDES em Dólar –TFBD; </w:t>
      </w:r>
    </w:p>
    <w:p w14:paraId="125FDBA4" w14:textId="77777777" w:rsidR="00963F6D" w:rsidRPr="00AC33D1" w:rsidRDefault="00963F6D" w:rsidP="00963F6D">
      <w:pPr>
        <w:pStyle w:val="BNDES"/>
        <w:ind w:left="567"/>
        <w:rPr>
          <w:rFonts w:cs="Arial"/>
          <w:szCs w:val="24"/>
        </w:rPr>
      </w:pPr>
    </w:p>
    <w:p w14:paraId="0279E63E" w14:textId="77777777" w:rsidR="00963F6D" w:rsidRPr="00AC33D1" w:rsidRDefault="00963F6D" w:rsidP="00C53317">
      <w:pPr>
        <w:pStyle w:val="BNDES"/>
        <w:rPr>
          <w:rFonts w:cs="Arial"/>
          <w:szCs w:val="24"/>
        </w:rPr>
      </w:pPr>
      <w:r w:rsidRPr="00AC33D1">
        <w:rPr>
          <w:rFonts w:cs="Arial"/>
          <w:szCs w:val="24"/>
        </w:rPr>
        <w:t xml:space="preserve">II - </w:t>
      </w:r>
      <w:r w:rsidRPr="00AC33D1">
        <w:rPr>
          <w:rFonts w:cs="Arial"/>
          <w:szCs w:val="24"/>
          <w:u w:val="single"/>
        </w:rPr>
        <w:t>a serem cobrados ao CLIENTE FINAL pela INSTITUIÇÃO FINANCEIRA CREDENCIADA</w:t>
      </w:r>
      <w:r w:rsidRPr="00AC33D1">
        <w:rPr>
          <w:rFonts w:cs="Arial"/>
          <w:szCs w:val="24"/>
        </w:rPr>
        <w:t>:</w:t>
      </w:r>
    </w:p>
    <w:p w14:paraId="19828CD3" w14:textId="77777777" w:rsidR="00963F6D" w:rsidRPr="00AC33D1" w:rsidRDefault="00963F6D" w:rsidP="00963F6D">
      <w:pPr>
        <w:pStyle w:val="BNDES"/>
        <w:ind w:left="567"/>
        <w:rPr>
          <w:rFonts w:cs="Arial"/>
          <w:szCs w:val="24"/>
        </w:rPr>
      </w:pPr>
    </w:p>
    <w:p w14:paraId="40614C40" w14:textId="77777777" w:rsidR="00963F6D" w:rsidRPr="00AC33D1" w:rsidRDefault="00963F6D" w:rsidP="00C53317">
      <w:pPr>
        <w:pStyle w:val="BNDES"/>
        <w:rPr>
          <w:rFonts w:cs="Arial"/>
          <w:szCs w:val="24"/>
        </w:rPr>
      </w:pPr>
      <w:r w:rsidRPr="00AC33D1">
        <w:rPr>
          <w:rFonts w:cs="Arial"/>
          <w:szCs w:val="24"/>
        </w:rPr>
        <w:t xml:space="preserve"> ...% (.......... por cento) ao ano (a título de remuneração), somado com as taxas a serem cobradas à INSTITUIÇÃO FINANCEIRA CREDENCIADA pelo Sistema BNDES.</w:t>
      </w:r>
    </w:p>
    <w:p w14:paraId="6FB71CAC" w14:textId="77777777" w:rsidR="00963F6D" w:rsidRPr="00AC33D1" w:rsidRDefault="00963F6D" w:rsidP="00963F6D">
      <w:pPr>
        <w:pStyle w:val="BNDES"/>
        <w:rPr>
          <w:rFonts w:cs="Arial"/>
          <w:szCs w:val="24"/>
        </w:rPr>
      </w:pPr>
    </w:p>
    <w:p w14:paraId="5ED3E220" w14:textId="77777777" w:rsidR="00963F6D" w:rsidRPr="00AC33D1" w:rsidRDefault="00963F6D" w:rsidP="00C53317">
      <w:pPr>
        <w:pStyle w:val="BNDES"/>
        <w:rPr>
          <w:rFonts w:cs="Arial"/>
          <w:szCs w:val="24"/>
          <w:u w:val="single"/>
        </w:rPr>
      </w:pPr>
      <w:r w:rsidRPr="00AC33D1">
        <w:rPr>
          <w:rFonts w:cs="Arial"/>
          <w:szCs w:val="24"/>
          <w:u w:val="single"/>
        </w:rPr>
        <w:t>Forma de Cálculo:</w:t>
      </w:r>
    </w:p>
    <w:p w14:paraId="0196D858" w14:textId="77777777" w:rsidR="00963F6D" w:rsidRPr="00AC33D1" w:rsidRDefault="00963F6D" w:rsidP="00963F6D">
      <w:pPr>
        <w:pStyle w:val="BNDES"/>
        <w:rPr>
          <w:rFonts w:cs="Arial"/>
          <w:szCs w:val="24"/>
          <w:u w:val="single"/>
        </w:rPr>
      </w:pPr>
    </w:p>
    <w:p w14:paraId="12F65EF8" w14:textId="77777777" w:rsidR="00963F6D" w:rsidRPr="00AC33D1" w:rsidRDefault="00963F6D" w:rsidP="00C53317">
      <w:pPr>
        <w:jc w:val="both"/>
        <w:rPr>
          <w:rFonts w:ascii="Arial" w:hAnsi="Arial" w:cs="Arial"/>
          <w:sz w:val="24"/>
          <w:szCs w:val="24"/>
        </w:rPr>
      </w:pPr>
      <w:r w:rsidRPr="00AC33D1">
        <w:rPr>
          <w:rFonts w:ascii="Arial" w:hAnsi="Arial" w:cs="Arial"/>
          <w:sz w:val="24"/>
          <w:szCs w:val="24"/>
        </w:rPr>
        <w:t>Os juros serão calculados linearmente por dias corridos pelo sistema proporcional, considerado, para base de cálculo, o ano de 360 (trezentos e sessenta) dias, sobre o saldo devedor atualizado, sendo capitalizados e/ou exigíveis trimestralmente/semestralmente/anualmente (conforme o caso), durante o prazo de carência, e mensalmente/semestralmente/anualmente (conforme o caso), durante o período de amortização, juntamente com as prestações do principal, e no vencimento ou liquidação da dívida, observado o disposto na Cláusula “VENCIMENTO EM DIAS FERIADOS”, da seguinte forma:</w:t>
      </w:r>
    </w:p>
    <w:p w14:paraId="10A61003" w14:textId="77777777" w:rsidR="00963F6D" w:rsidRPr="00AC33D1" w:rsidRDefault="00963F6D" w:rsidP="00963F6D">
      <w:pPr>
        <w:jc w:val="both"/>
        <w:rPr>
          <w:rFonts w:ascii="Arial" w:hAnsi="Arial" w:cs="Arial"/>
          <w:sz w:val="24"/>
          <w:szCs w:val="24"/>
        </w:rPr>
      </w:pPr>
    </w:p>
    <w:p w14:paraId="4DC0FFBE" w14:textId="77777777" w:rsidR="00963F6D" w:rsidRPr="00AC33D1" w:rsidRDefault="00963F6D" w:rsidP="00963F6D">
      <w:pPr>
        <w:pStyle w:val="BNDES"/>
        <w:spacing w:before="40" w:after="40"/>
        <w:jc w:val="center"/>
      </w:pPr>
      <m:oMathPara>
        <m:oMath>
          <m:r>
            <w:rPr>
              <w:rFonts w:ascii="Cambria Math"/>
            </w:rPr>
            <m:t>Juros=SDA</m:t>
          </m:r>
          <m:r>
            <w:rPr>
              <w:rFonts w:ascii="Cambria Math"/>
            </w:rPr>
            <m:t>×</m:t>
          </m:r>
          <m:d>
            <m:dPr>
              <m:ctrlPr>
                <w:rPr>
                  <w:rFonts w:ascii="Cambria Math" w:hAnsi="Cambria Math"/>
                  <w:i/>
                </w:rPr>
              </m:ctrlPr>
            </m:dPr>
            <m:e>
              <m:r>
                <w:rPr>
                  <w:rFonts w:ascii="Cambria Math"/>
                </w:rPr>
                <m:t>TFBD + Spread</m:t>
              </m:r>
            </m:e>
          </m:d>
          <m:r>
            <w:rPr>
              <w:rFonts w:ascii="Cambria Math"/>
            </w:rPr>
            <m:t>×</m:t>
          </m:r>
          <m:d>
            <m:dPr>
              <m:ctrlPr>
                <w:rPr>
                  <w:rFonts w:ascii="Cambria Math" w:hAnsi="Cambria Math"/>
                  <w:i/>
                </w:rPr>
              </m:ctrlPr>
            </m:dPr>
            <m:e>
              <m:f>
                <m:fPr>
                  <m:ctrlPr>
                    <w:rPr>
                      <w:rFonts w:ascii="Cambria Math" w:hAnsi="Cambria Math"/>
                      <w:i/>
                    </w:rPr>
                  </m:ctrlPr>
                </m:fPr>
                <m:num>
                  <m:r>
                    <w:rPr>
                      <w:rFonts w:ascii="Cambria Math"/>
                    </w:rPr>
                    <m:t>n</m:t>
                  </m:r>
                </m:num>
                <m:den>
                  <m:r>
                    <w:rPr>
                      <w:rFonts w:ascii="Cambria Math"/>
                    </w:rPr>
                    <m:t>360</m:t>
                  </m:r>
                </m:den>
              </m:f>
            </m:e>
          </m:d>
        </m:oMath>
      </m:oMathPara>
    </w:p>
    <w:p w14:paraId="00200A82" w14:textId="77777777" w:rsidR="00963F6D" w:rsidRPr="00AC33D1" w:rsidRDefault="00963F6D" w:rsidP="00B10C14">
      <w:pPr>
        <w:pStyle w:val="BNDES"/>
        <w:tabs>
          <w:tab w:val="left" w:pos="567"/>
        </w:tabs>
        <w:spacing w:before="40" w:after="40"/>
        <w:ind w:left="567"/>
      </w:pPr>
      <w:r>
        <w:t>Onde</w:t>
      </w:r>
      <w:r w:rsidRPr="00AC33D1">
        <w:t>:</w:t>
      </w:r>
    </w:p>
    <w:p w14:paraId="683FDD5D" w14:textId="77777777" w:rsidR="00963F6D" w:rsidRPr="00AC33D1" w:rsidRDefault="00963F6D" w:rsidP="00963F6D">
      <w:pPr>
        <w:pStyle w:val="BNDES"/>
        <w:tabs>
          <w:tab w:val="right" w:pos="2988"/>
        </w:tabs>
        <w:spacing w:before="40" w:after="40"/>
        <w:ind w:left="1668" w:hanging="1101"/>
      </w:pPr>
      <w:r w:rsidRPr="00AC33D1">
        <w:t xml:space="preserve">Juros = </w:t>
      </w:r>
      <w:r w:rsidRPr="00AC33D1">
        <w:tab/>
        <w:t>Valor da parcela de juros;</w:t>
      </w:r>
    </w:p>
    <w:p w14:paraId="751C2534" w14:textId="77777777" w:rsidR="00963F6D" w:rsidRPr="00AC33D1" w:rsidRDefault="00963F6D" w:rsidP="00963F6D">
      <w:pPr>
        <w:pStyle w:val="BNDES"/>
        <w:tabs>
          <w:tab w:val="right" w:pos="2988"/>
        </w:tabs>
        <w:spacing w:before="40" w:after="40"/>
        <w:ind w:left="1668" w:hanging="1101"/>
      </w:pPr>
      <w:r w:rsidRPr="00AC33D1">
        <w:t xml:space="preserve">SDA = </w:t>
      </w:r>
      <w:r w:rsidRPr="00AC33D1">
        <w:tab/>
        <w:t>Saldo devedor atualizado, observado o disposto na Cláusula</w:t>
      </w:r>
      <w:r w:rsidRPr="00AC33D1">
        <w:rPr>
          <w:rFonts w:cs="Arial"/>
          <w:szCs w:val="24"/>
        </w:rPr>
        <w:t xml:space="preserve"> “Atualização do Valor da Dívida”</w:t>
      </w:r>
      <w:r w:rsidRPr="00AC33D1">
        <w:t>;</w:t>
      </w:r>
    </w:p>
    <w:p w14:paraId="53CC441C" w14:textId="77777777" w:rsidR="00963F6D" w:rsidRPr="00AC33D1" w:rsidRDefault="00963F6D" w:rsidP="00963F6D">
      <w:pPr>
        <w:pStyle w:val="BNDES"/>
        <w:tabs>
          <w:tab w:val="right" w:pos="2988"/>
        </w:tabs>
        <w:spacing w:before="40" w:after="40"/>
        <w:ind w:left="1668" w:hanging="1101"/>
      </w:pPr>
      <w:r w:rsidRPr="00AC33D1">
        <w:t xml:space="preserve">TFBD = </w:t>
      </w:r>
      <w:r w:rsidRPr="00AC33D1">
        <w:tab/>
        <w:t>Taxa Fixa BNDES em Dólar em % ao ano;</w:t>
      </w:r>
    </w:p>
    <w:p w14:paraId="5E5DC8B3" w14:textId="77777777" w:rsidR="00963F6D" w:rsidRPr="00AC33D1" w:rsidRDefault="00963F6D" w:rsidP="00963F6D">
      <w:pPr>
        <w:pStyle w:val="BNDES"/>
        <w:tabs>
          <w:tab w:val="right" w:pos="2988"/>
        </w:tabs>
        <w:spacing w:before="40" w:after="40"/>
        <w:ind w:left="1668" w:hanging="1101"/>
      </w:pPr>
      <w:r w:rsidRPr="00AC33D1">
        <w:t>Spread=</w:t>
      </w:r>
      <w:r w:rsidRPr="00AC33D1">
        <w:tab/>
        <w:t>corresponde ao spread do BNDES acrescido do spread do Agente Financeiro, em % ao ano;</w:t>
      </w:r>
    </w:p>
    <w:p w14:paraId="4EE975C2" w14:textId="77777777" w:rsidR="00963F6D" w:rsidRPr="00AC33D1" w:rsidRDefault="00963F6D" w:rsidP="00963F6D">
      <w:pPr>
        <w:pStyle w:val="BNDES"/>
        <w:tabs>
          <w:tab w:val="left" w:pos="2988"/>
        </w:tabs>
        <w:spacing w:before="40" w:after="40"/>
        <w:ind w:left="1668" w:hanging="1101"/>
      </w:pPr>
      <w:r w:rsidRPr="00AC33D1">
        <w:lastRenderedPageBreak/>
        <w:t xml:space="preserve">n = </w:t>
      </w:r>
      <w:r w:rsidRPr="00AC33D1">
        <w:tab/>
        <w:t xml:space="preserve">Número de dias corridos entre </w:t>
      </w:r>
      <w:r w:rsidRPr="00AC33D1">
        <w:rPr>
          <w:rFonts w:cs="Arial"/>
          <w:szCs w:val="24"/>
        </w:rPr>
        <w:t>(i) </w:t>
      </w:r>
      <w:r w:rsidRPr="00AC33D1">
        <w:t>a data de liberação do crédito, quando se tratar da primeira parcela de juros, inclusive, ou (ii) a data de pagamento da última parcela de juros anterior, quando se tratar das demais parcelas, inclusive, e a data de pagamento da parcela de juros atual, exclusive, sendo n um número inteiro.</w:t>
      </w:r>
    </w:p>
    <w:p w14:paraId="6D57818B" w14:textId="77777777" w:rsidR="00963F6D" w:rsidRPr="00AC33D1" w:rsidRDefault="00963F6D" w:rsidP="00C53317">
      <w:pPr>
        <w:pStyle w:val="a"/>
        <w:spacing w:before="120"/>
        <w:rPr>
          <w:rFonts w:cs="Arial"/>
          <w:u w:val="single"/>
        </w:rPr>
      </w:pPr>
      <w:r w:rsidRPr="00AC33D1">
        <w:rPr>
          <w:rFonts w:cs="Arial"/>
          <w:u w:val="single"/>
        </w:rPr>
        <w:t>Atualização do Valor da Dívida</w:t>
      </w:r>
      <w:r w:rsidRPr="00AC33D1">
        <w:rPr>
          <w:rFonts w:cs="Arial"/>
        </w:rPr>
        <w:t>:</w:t>
      </w:r>
    </w:p>
    <w:p w14:paraId="5111AB2E" w14:textId="77777777" w:rsidR="00963F6D" w:rsidRPr="00AC33D1" w:rsidRDefault="00963F6D" w:rsidP="00C53317">
      <w:pPr>
        <w:pStyle w:val="BNDES"/>
        <w:tabs>
          <w:tab w:val="left" w:pos="567"/>
        </w:tabs>
        <w:rPr>
          <w:rFonts w:cs="Arial"/>
        </w:rPr>
      </w:pPr>
      <w:r w:rsidRPr="00AC33D1">
        <w:rPr>
          <w:rFonts w:cs="Arial"/>
        </w:rPr>
        <w:t xml:space="preserve">O saldo devedor do CLIENTE FINAL, aí incluídos o principal, juros compensatórios e moratórios, será atualizado diariamente pelo índice de variação da taxa de câmbio, para venda, do dólar norte-americano divulgada pelo Banco Central do </w:t>
      </w:r>
      <w:r w:rsidRPr="00AC33D1">
        <w:rPr>
          <w:rFonts w:cs="Arial"/>
          <w:szCs w:val="24"/>
        </w:rPr>
        <w:t>Brasil (PTAX) no dia útil anterior, desde a data da liberação dos recursos para o CLIENTE FINAL até a data do efetivo pagamento e/ou amortização</w:t>
      </w:r>
      <w:r w:rsidRPr="00AC33D1">
        <w:rPr>
          <w:rFonts w:cs="Arial"/>
        </w:rPr>
        <w:t>.</w:t>
      </w:r>
    </w:p>
    <w:p w14:paraId="2A60EEBC" w14:textId="2DE0DCF4" w:rsidR="00963F6D" w:rsidRDefault="00963F6D" w:rsidP="00B10C14">
      <w:pPr>
        <w:pStyle w:val="BNDES"/>
        <w:spacing w:before="120" w:after="120"/>
        <w:rPr>
          <w:rFonts w:cs="Arial"/>
        </w:rPr>
      </w:pPr>
      <w:r w:rsidRPr="00AC33D1">
        <w:rPr>
          <w:rFonts w:cs="Arial"/>
        </w:rPr>
        <w:t>Para os fins do disposto na Cláusula “Atualização do Valor da Dívida”, no dia em que não houver cotação oficial, será considerada a cotação do dia imediatamente anterior.</w:t>
      </w:r>
    </w:p>
    <w:p w14:paraId="2C2C4FC2" w14:textId="561BCEA7" w:rsidR="008B188A" w:rsidRPr="008B188A" w:rsidRDefault="008B188A" w:rsidP="00B10C14">
      <w:pPr>
        <w:pStyle w:val="BNDES"/>
        <w:spacing w:before="120" w:after="120"/>
        <w:rPr>
          <w:rFonts w:cs="Arial"/>
        </w:rPr>
      </w:pPr>
      <w:r w:rsidRPr="008B188A">
        <w:rPr>
          <w:rFonts w:cs="Arial"/>
        </w:rPr>
        <w:t>Os correspondentes valores do saldo devedor já quitados junto ao Sistema BNDES, poderão, ao exclusivo critério da Instituição Financeira Credenciada, deixar de ser atualizados pelo dólar norte-americano (PTAX), passando a cobrar o correspondente valor da dívida em Reais (aí incluídos o principal, juros compensatórios e moratórios) junto ao CLIENTE FINAL, mantendo-se a atualização do saldo remanescente pelo dólar norte-americano (PTAX).</w:t>
      </w:r>
      <w:r>
        <w:rPr>
          <w:rFonts w:cs="Arial"/>
        </w:rPr>
        <w:t xml:space="preserve"> </w:t>
      </w:r>
      <w:r>
        <w:rPr>
          <w:rFonts w:cs="Arial"/>
          <w:b/>
          <w:i/>
          <w:color w:val="000099"/>
          <w:sz w:val="20"/>
          <w:szCs w:val="24"/>
        </w:rPr>
        <w:t>(Incluído pela Circular SUP/ADIG Nº 68/2023-BNDES, de 14.11.2023)</w:t>
      </w:r>
    </w:p>
    <w:p w14:paraId="63B37996" w14:textId="77777777" w:rsidR="00963F6D" w:rsidRDefault="00963F6D" w:rsidP="00963F6D">
      <w:pPr>
        <w:pStyle w:val="BNDES"/>
        <w:rPr>
          <w:rFonts w:cs="Arial"/>
          <w:b/>
          <w:szCs w:val="24"/>
          <w:u w:val="single"/>
        </w:rPr>
      </w:pPr>
    </w:p>
    <w:p w14:paraId="774C60C8" w14:textId="77777777" w:rsidR="00963F6D" w:rsidRDefault="00963F6D" w:rsidP="00963F6D">
      <w:pPr>
        <w:pStyle w:val="BNDES"/>
        <w:rPr>
          <w:rFonts w:cs="Arial"/>
          <w:b/>
          <w:szCs w:val="24"/>
          <w:u w:val="single"/>
        </w:rPr>
      </w:pPr>
    </w:p>
    <w:p w14:paraId="4829CB12" w14:textId="77777777" w:rsidR="00963F6D" w:rsidRDefault="00963F6D" w:rsidP="00963F6D">
      <w:pPr>
        <w:pStyle w:val="BNDES"/>
        <w:rPr>
          <w:rFonts w:cs="Arial"/>
          <w:b/>
          <w:szCs w:val="24"/>
          <w:u w:val="single"/>
        </w:rPr>
      </w:pPr>
    </w:p>
    <w:p w14:paraId="06605978" w14:textId="77777777" w:rsidR="00963F6D" w:rsidRDefault="00963F6D" w:rsidP="00963F6D">
      <w:pPr>
        <w:pStyle w:val="BNDES"/>
        <w:rPr>
          <w:rFonts w:cs="Arial"/>
          <w:b/>
          <w:szCs w:val="24"/>
          <w:u w:val="single"/>
        </w:rPr>
      </w:pPr>
    </w:p>
    <w:p w14:paraId="39550199" w14:textId="77777777" w:rsidR="00963F6D" w:rsidRDefault="00963F6D" w:rsidP="00963F6D">
      <w:pPr>
        <w:pStyle w:val="BNDES"/>
        <w:rPr>
          <w:rFonts w:cs="Arial"/>
          <w:b/>
          <w:szCs w:val="24"/>
          <w:u w:val="single"/>
        </w:rPr>
      </w:pPr>
    </w:p>
    <w:p w14:paraId="0D2B1C7B" w14:textId="77777777" w:rsidR="00963F6D" w:rsidRDefault="00963F6D" w:rsidP="00963F6D">
      <w:pPr>
        <w:pStyle w:val="BNDES"/>
        <w:rPr>
          <w:rFonts w:cs="Arial"/>
          <w:b/>
          <w:szCs w:val="24"/>
          <w:u w:val="single"/>
        </w:rPr>
      </w:pPr>
    </w:p>
    <w:p w14:paraId="49F0629D" w14:textId="77777777" w:rsidR="00963F6D" w:rsidRDefault="00963F6D" w:rsidP="00963F6D">
      <w:pPr>
        <w:pStyle w:val="BNDES"/>
        <w:rPr>
          <w:rFonts w:cs="Arial"/>
          <w:b/>
          <w:szCs w:val="24"/>
          <w:u w:val="single"/>
        </w:rPr>
      </w:pPr>
    </w:p>
    <w:p w14:paraId="26040943" w14:textId="77777777" w:rsidR="00963F6D" w:rsidRDefault="00963F6D" w:rsidP="00963F6D">
      <w:pPr>
        <w:pStyle w:val="BNDES"/>
        <w:rPr>
          <w:rFonts w:cs="Arial"/>
          <w:b/>
          <w:szCs w:val="24"/>
          <w:u w:val="single"/>
        </w:rPr>
      </w:pPr>
    </w:p>
    <w:p w14:paraId="03E41C38" w14:textId="77777777" w:rsidR="00963F6D" w:rsidRDefault="00963F6D" w:rsidP="00963F6D">
      <w:pPr>
        <w:pStyle w:val="BNDES"/>
        <w:rPr>
          <w:rFonts w:cs="Arial"/>
          <w:b/>
          <w:szCs w:val="24"/>
          <w:u w:val="single"/>
        </w:rPr>
      </w:pPr>
    </w:p>
    <w:p w14:paraId="611B51C1" w14:textId="77777777" w:rsidR="00963F6D" w:rsidRDefault="00963F6D" w:rsidP="00963F6D">
      <w:pPr>
        <w:pStyle w:val="BNDES"/>
        <w:rPr>
          <w:rFonts w:cs="Arial"/>
          <w:b/>
          <w:szCs w:val="24"/>
          <w:u w:val="single"/>
        </w:rPr>
      </w:pPr>
    </w:p>
    <w:p w14:paraId="701C48E7" w14:textId="77777777" w:rsidR="00963F6D" w:rsidRDefault="00963F6D" w:rsidP="00963F6D">
      <w:pPr>
        <w:pStyle w:val="BNDES"/>
        <w:rPr>
          <w:rFonts w:cs="Arial"/>
          <w:b/>
          <w:szCs w:val="24"/>
          <w:u w:val="single"/>
        </w:rPr>
      </w:pPr>
    </w:p>
    <w:p w14:paraId="0825C66C" w14:textId="77777777" w:rsidR="00963F6D" w:rsidRDefault="00963F6D" w:rsidP="00963F6D">
      <w:pPr>
        <w:pStyle w:val="BNDES"/>
        <w:rPr>
          <w:rFonts w:cs="Arial"/>
          <w:b/>
          <w:szCs w:val="24"/>
          <w:u w:val="single"/>
        </w:rPr>
      </w:pPr>
    </w:p>
    <w:p w14:paraId="2C39E47E" w14:textId="77777777" w:rsidR="00963F6D" w:rsidRDefault="00963F6D" w:rsidP="00963F6D">
      <w:pPr>
        <w:pStyle w:val="BNDES"/>
        <w:rPr>
          <w:rFonts w:cs="Arial"/>
          <w:b/>
          <w:szCs w:val="24"/>
          <w:u w:val="single"/>
        </w:rPr>
      </w:pPr>
    </w:p>
    <w:p w14:paraId="43FF85A6" w14:textId="77777777" w:rsidR="00963F6D" w:rsidRDefault="00963F6D" w:rsidP="00963F6D">
      <w:pPr>
        <w:pStyle w:val="BNDES"/>
        <w:rPr>
          <w:rFonts w:cs="Arial"/>
          <w:b/>
          <w:szCs w:val="24"/>
          <w:u w:val="single"/>
        </w:rPr>
      </w:pPr>
    </w:p>
    <w:p w14:paraId="3CB6FCE8" w14:textId="77777777" w:rsidR="00963F6D" w:rsidRDefault="00963F6D" w:rsidP="00963F6D">
      <w:pPr>
        <w:pStyle w:val="BNDES"/>
        <w:rPr>
          <w:rFonts w:cs="Arial"/>
          <w:b/>
          <w:szCs w:val="24"/>
          <w:u w:val="single"/>
        </w:rPr>
      </w:pPr>
    </w:p>
    <w:p w14:paraId="531134AF" w14:textId="77777777" w:rsidR="00963F6D" w:rsidRDefault="00963F6D" w:rsidP="00963F6D">
      <w:pPr>
        <w:pStyle w:val="BNDES"/>
        <w:rPr>
          <w:rFonts w:cs="Arial"/>
          <w:b/>
          <w:szCs w:val="24"/>
          <w:u w:val="single"/>
        </w:rPr>
      </w:pPr>
    </w:p>
    <w:p w14:paraId="561F06B3" w14:textId="77777777" w:rsidR="00963F6D" w:rsidRDefault="00963F6D" w:rsidP="00963F6D">
      <w:pPr>
        <w:pStyle w:val="BNDES"/>
        <w:rPr>
          <w:rFonts w:cs="Arial"/>
          <w:b/>
          <w:szCs w:val="24"/>
          <w:u w:val="single"/>
        </w:rPr>
      </w:pPr>
    </w:p>
    <w:p w14:paraId="7F50D4CB" w14:textId="77777777" w:rsidR="00963F6D" w:rsidRDefault="00963F6D" w:rsidP="00963F6D">
      <w:pPr>
        <w:pStyle w:val="BNDES"/>
        <w:rPr>
          <w:rFonts w:cs="Arial"/>
          <w:b/>
          <w:szCs w:val="24"/>
          <w:u w:val="single"/>
        </w:rPr>
      </w:pPr>
    </w:p>
    <w:p w14:paraId="5B0072CB" w14:textId="77777777" w:rsidR="00963F6D" w:rsidRDefault="00963F6D" w:rsidP="00963F6D">
      <w:pPr>
        <w:pStyle w:val="BNDES"/>
        <w:rPr>
          <w:rFonts w:cs="Arial"/>
          <w:b/>
          <w:szCs w:val="24"/>
          <w:u w:val="single"/>
        </w:rPr>
      </w:pPr>
    </w:p>
    <w:p w14:paraId="3B40CA1C" w14:textId="77777777" w:rsidR="00963F6D" w:rsidRDefault="00963F6D" w:rsidP="00963F6D">
      <w:pPr>
        <w:pStyle w:val="BNDES"/>
        <w:rPr>
          <w:rFonts w:cs="Arial"/>
          <w:b/>
          <w:szCs w:val="24"/>
          <w:u w:val="single"/>
        </w:rPr>
      </w:pPr>
    </w:p>
    <w:p w14:paraId="3F967162" w14:textId="77777777" w:rsidR="00963F6D" w:rsidRDefault="00963F6D" w:rsidP="00963F6D">
      <w:pPr>
        <w:pStyle w:val="BNDES"/>
        <w:rPr>
          <w:rFonts w:cs="Arial"/>
          <w:b/>
          <w:szCs w:val="24"/>
          <w:u w:val="single"/>
        </w:rPr>
      </w:pPr>
    </w:p>
    <w:p w14:paraId="098894F2" w14:textId="77777777" w:rsidR="00963F6D" w:rsidRDefault="00963F6D" w:rsidP="00963F6D">
      <w:pPr>
        <w:pStyle w:val="BNDES"/>
        <w:rPr>
          <w:rFonts w:cs="Arial"/>
          <w:b/>
          <w:szCs w:val="24"/>
          <w:u w:val="single"/>
        </w:rPr>
      </w:pPr>
    </w:p>
    <w:p w14:paraId="57C6C14F" w14:textId="77777777" w:rsidR="00963F6D" w:rsidRDefault="00963F6D" w:rsidP="00963F6D">
      <w:pPr>
        <w:pStyle w:val="BNDES"/>
        <w:rPr>
          <w:rFonts w:cs="Arial"/>
          <w:b/>
          <w:szCs w:val="24"/>
          <w:u w:val="single"/>
        </w:rPr>
      </w:pPr>
    </w:p>
    <w:p w14:paraId="7EF2D2C8" w14:textId="77777777" w:rsidR="00963F6D" w:rsidRDefault="00963F6D" w:rsidP="00963F6D">
      <w:pPr>
        <w:pStyle w:val="BNDES"/>
        <w:rPr>
          <w:rFonts w:cs="Arial"/>
          <w:b/>
          <w:szCs w:val="24"/>
          <w:u w:val="single"/>
        </w:rPr>
      </w:pPr>
    </w:p>
    <w:p w14:paraId="448D2FC0" w14:textId="77777777" w:rsidR="00963F6D" w:rsidRDefault="00963F6D" w:rsidP="00963F6D">
      <w:pPr>
        <w:pStyle w:val="BNDES"/>
        <w:rPr>
          <w:rFonts w:cs="Arial"/>
          <w:b/>
          <w:szCs w:val="24"/>
          <w:u w:val="single"/>
        </w:rPr>
      </w:pPr>
    </w:p>
    <w:p w14:paraId="776DC492" w14:textId="77777777" w:rsidR="00963F6D" w:rsidRDefault="00963F6D" w:rsidP="00963F6D">
      <w:pPr>
        <w:pStyle w:val="BNDES"/>
        <w:rPr>
          <w:rFonts w:cs="Arial"/>
          <w:b/>
          <w:szCs w:val="24"/>
          <w:u w:val="single"/>
        </w:rPr>
      </w:pPr>
    </w:p>
    <w:p w14:paraId="491AFD7D" w14:textId="77777777" w:rsidR="00963F6D" w:rsidRDefault="00963F6D" w:rsidP="00963F6D">
      <w:pPr>
        <w:pStyle w:val="BNDES"/>
        <w:rPr>
          <w:rFonts w:cs="Arial"/>
          <w:b/>
          <w:szCs w:val="24"/>
          <w:u w:val="single"/>
        </w:rPr>
      </w:pPr>
    </w:p>
    <w:p w14:paraId="2B7B8658" w14:textId="77777777" w:rsidR="00963F6D" w:rsidRDefault="00963F6D" w:rsidP="00963F6D">
      <w:pPr>
        <w:pStyle w:val="BNDES"/>
        <w:rPr>
          <w:rFonts w:cs="Arial"/>
          <w:b/>
          <w:szCs w:val="24"/>
          <w:u w:val="single"/>
        </w:rPr>
      </w:pPr>
    </w:p>
    <w:p w14:paraId="3CDDA0F5" w14:textId="77777777" w:rsidR="00963F6D" w:rsidRDefault="00963F6D" w:rsidP="00963F6D">
      <w:pPr>
        <w:pStyle w:val="BNDES"/>
        <w:rPr>
          <w:rFonts w:cs="Arial"/>
          <w:b/>
          <w:szCs w:val="24"/>
          <w:u w:val="single"/>
        </w:rPr>
      </w:pPr>
    </w:p>
    <w:p w14:paraId="1D749951" w14:textId="77777777" w:rsidR="00963F6D" w:rsidRDefault="00963F6D" w:rsidP="00963F6D">
      <w:pPr>
        <w:pStyle w:val="BNDES"/>
        <w:rPr>
          <w:rFonts w:cs="Arial"/>
          <w:b/>
          <w:szCs w:val="24"/>
          <w:u w:val="single"/>
        </w:rPr>
      </w:pPr>
    </w:p>
    <w:p w14:paraId="1D2A88C0" w14:textId="77777777" w:rsidR="00963F6D" w:rsidRDefault="00963F6D" w:rsidP="00963F6D">
      <w:pPr>
        <w:pStyle w:val="BNDES"/>
        <w:rPr>
          <w:rFonts w:cs="Arial"/>
          <w:b/>
          <w:szCs w:val="24"/>
          <w:u w:val="single"/>
        </w:rPr>
      </w:pPr>
    </w:p>
    <w:p w14:paraId="4B0BF46F" w14:textId="40623FFC" w:rsidR="00FE10EB" w:rsidRPr="00B82233" w:rsidRDefault="00B57E7D" w:rsidP="00B82233">
      <w:pPr>
        <w:pStyle w:val="BNDES"/>
        <w:numPr>
          <w:ilvl w:val="0"/>
          <w:numId w:val="49"/>
        </w:numPr>
        <w:ind w:left="709" w:hanging="709"/>
        <w:rPr>
          <w:rFonts w:cs="Arial"/>
          <w:b/>
          <w:szCs w:val="24"/>
          <w:u w:val="single"/>
        </w:rPr>
      </w:pPr>
      <w:r>
        <w:rPr>
          <w:rFonts w:cs="Arial"/>
          <w:b/>
          <w:szCs w:val="24"/>
          <w:u w:val="single"/>
        </w:rPr>
        <w:t>C</w:t>
      </w:r>
      <w:r w:rsidR="00CF776F" w:rsidRPr="00797A8C">
        <w:rPr>
          <w:rFonts w:cs="Arial"/>
          <w:b/>
          <w:szCs w:val="24"/>
          <w:u w:val="single"/>
        </w:rPr>
        <w:t xml:space="preserve">láusulas </w:t>
      </w:r>
      <w:r w:rsidR="00CF776F" w:rsidRPr="000A0FC3">
        <w:rPr>
          <w:rFonts w:cs="Arial"/>
          <w:b/>
          <w:szCs w:val="24"/>
          <w:u w:val="single"/>
        </w:rPr>
        <w:t>e c</w:t>
      </w:r>
      <w:r w:rsidR="00FE10EB" w:rsidRPr="000A0FC3">
        <w:rPr>
          <w:rFonts w:cs="Arial"/>
          <w:b/>
          <w:szCs w:val="24"/>
          <w:u w:val="single"/>
        </w:rPr>
        <w:t>ondições</w:t>
      </w:r>
      <w:r w:rsidR="00FE10EB" w:rsidRPr="00797A8C">
        <w:rPr>
          <w:rFonts w:cs="Arial"/>
          <w:b/>
          <w:szCs w:val="24"/>
          <w:u w:val="single"/>
        </w:rPr>
        <w:t xml:space="preserve"> </w:t>
      </w:r>
      <w:r w:rsidR="00A028E0" w:rsidRPr="00050EC3">
        <w:rPr>
          <w:rFonts w:cs="Arial"/>
          <w:b/>
          <w:szCs w:val="24"/>
          <w:u w:val="single"/>
        </w:rPr>
        <w:t xml:space="preserve">que deverão constar nos </w:t>
      </w:r>
      <w:r w:rsidR="00652735">
        <w:rPr>
          <w:rFonts w:cs="Arial"/>
          <w:b/>
          <w:szCs w:val="24"/>
          <w:u w:val="single"/>
        </w:rPr>
        <w:t>instrumentos jurídicos que formalizam a operação de crédito</w:t>
      </w:r>
      <w:r w:rsidR="00652735" w:rsidRPr="00133EC2">
        <w:rPr>
          <w:rFonts w:cs="Arial"/>
          <w:b/>
          <w:szCs w:val="24"/>
          <w:u w:val="single"/>
        </w:rPr>
        <w:t xml:space="preserve"> </w:t>
      </w:r>
      <w:r w:rsidR="00FE10EB" w:rsidRPr="000A0FC3">
        <w:rPr>
          <w:rFonts w:cs="Arial"/>
          <w:b/>
          <w:szCs w:val="24"/>
          <w:u w:val="single"/>
        </w:rPr>
        <w:t>independentemente do</w:t>
      </w:r>
      <w:r w:rsidR="00FE10EB" w:rsidRPr="00325FD0">
        <w:rPr>
          <w:rFonts w:cs="Arial"/>
          <w:b/>
          <w:szCs w:val="24"/>
          <w:u w:val="single"/>
        </w:rPr>
        <w:t xml:space="preserve"> Custo Financeiro </w:t>
      </w:r>
      <w:r w:rsidR="00FE10EB" w:rsidRPr="000A0FC3">
        <w:rPr>
          <w:rFonts w:cs="Arial"/>
          <w:b/>
          <w:szCs w:val="24"/>
          <w:u w:val="single"/>
        </w:rPr>
        <w:t>adotado</w:t>
      </w:r>
      <w:r w:rsidR="00E771AD" w:rsidRPr="000A0FC3">
        <w:rPr>
          <w:rFonts w:cs="Arial"/>
          <w:b/>
          <w:szCs w:val="24"/>
        </w:rPr>
        <w:t xml:space="preserve"> </w:t>
      </w:r>
      <w:r w:rsidR="00E771AD">
        <w:rPr>
          <w:rFonts w:cs="Arial"/>
          <w:b/>
          <w:i/>
          <w:color w:val="000099"/>
          <w:sz w:val="20"/>
          <w:szCs w:val="24"/>
        </w:rPr>
        <w:t>(</w:t>
      </w:r>
      <w:r w:rsidR="00B10C14">
        <w:rPr>
          <w:rFonts w:cs="Arial"/>
          <w:b/>
          <w:i/>
          <w:color w:val="000099"/>
          <w:sz w:val="20"/>
          <w:szCs w:val="24"/>
        </w:rPr>
        <w:t>Renumerado</w:t>
      </w:r>
      <w:r w:rsidR="00E771AD">
        <w:rPr>
          <w:rFonts w:cs="Arial"/>
          <w:b/>
          <w:i/>
          <w:color w:val="000099"/>
          <w:sz w:val="20"/>
          <w:szCs w:val="24"/>
        </w:rPr>
        <w:t xml:space="preserve"> pela</w:t>
      </w:r>
      <w:r w:rsidR="00C10B74">
        <w:rPr>
          <w:rFonts w:cs="Arial"/>
          <w:b/>
          <w:i/>
          <w:color w:val="000099"/>
          <w:sz w:val="20"/>
          <w:szCs w:val="24"/>
        </w:rPr>
        <w:t>s</w:t>
      </w:r>
      <w:r w:rsidR="00E771AD">
        <w:rPr>
          <w:rFonts w:cs="Arial"/>
          <w:b/>
          <w:i/>
          <w:color w:val="000099"/>
          <w:sz w:val="20"/>
          <w:szCs w:val="24"/>
        </w:rPr>
        <w:t xml:space="preserve"> Circular</w:t>
      </w:r>
      <w:r w:rsidR="00C10B74">
        <w:rPr>
          <w:rFonts w:cs="Arial"/>
          <w:b/>
          <w:i/>
          <w:color w:val="000099"/>
          <w:sz w:val="20"/>
          <w:szCs w:val="24"/>
        </w:rPr>
        <w:t>es</w:t>
      </w:r>
      <w:r w:rsidR="00E771AD">
        <w:rPr>
          <w:rFonts w:cs="Arial"/>
          <w:b/>
          <w:i/>
          <w:color w:val="000099"/>
          <w:sz w:val="20"/>
          <w:szCs w:val="24"/>
        </w:rPr>
        <w:t xml:space="preserve"> SUP/ADIG Nº 12/2023-BNDES, de 27.04.2023</w:t>
      </w:r>
      <w:r w:rsidR="00C10B74">
        <w:rPr>
          <w:rFonts w:cs="Arial"/>
          <w:b/>
          <w:i/>
          <w:color w:val="000099"/>
          <w:sz w:val="20"/>
          <w:szCs w:val="24"/>
        </w:rPr>
        <w:t xml:space="preserve"> e SUP/ADIG Nº 20/2025-BNDES, de 20.03.2025</w:t>
      </w:r>
      <w:r w:rsidR="00E771AD">
        <w:rPr>
          <w:rFonts w:cs="Arial"/>
          <w:b/>
          <w:i/>
          <w:color w:val="000099"/>
          <w:sz w:val="20"/>
          <w:szCs w:val="24"/>
        </w:rPr>
        <w:t>)</w:t>
      </w:r>
    </w:p>
    <w:p w14:paraId="24AD2B41" w14:textId="77777777" w:rsidR="00FE10EB" w:rsidRPr="00B82233" w:rsidRDefault="00FE10EB" w:rsidP="00FE10EB">
      <w:pPr>
        <w:keepNext/>
        <w:jc w:val="both"/>
        <w:rPr>
          <w:rFonts w:ascii="Arial" w:hAnsi="Arial" w:cs="Arial"/>
          <w:sz w:val="24"/>
          <w:szCs w:val="24"/>
          <w:u w:val="single"/>
        </w:rPr>
      </w:pPr>
    </w:p>
    <w:p w14:paraId="3BDAA64E" w14:textId="77777777" w:rsidR="00652735" w:rsidRPr="00E75C22" w:rsidRDefault="00652735" w:rsidP="00652735">
      <w:pPr>
        <w:jc w:val="both"/>
        <w:rPr>
          <w:rFonts w:ascii="Arial" w:hAnsi="Arial" w:cs="Arial"/>
          <w:sz w:val="24"/>
          <w:szCs w:val="24"/>
        </w:rPr>
      </w:pPr>
      <w:r w:rsidRPr="00E75C22">
        <w:rPr>
          <w:rFonts w:ascii="Arial" w:hAnsi="Arial" w:cs="Arial"/>
          <w:sz w:val="24"/>
          <w:szCs w:val="24"/>
          <w:u w:val="single"/>
        </w:rPr>
        <w:t>INSTITUIÇÃO FINANCEIRA CREDENCIADA</w:t>
      </w:r>
      <w:r w:rsidRPr="00E75C22">
        <w:rPr>
          <w:rFonts w:ascii="Arial" w:hAnsi="Arial" w:cs="Arial"/>
          <w:sz w:val="24"/>
          <w:szCs w:val="24"/>
        </w:rPr>
        <w:t>:</w:t>
      </w:r>
    </w:p>
    <w:p w14:paraId="4E2ACF55" w14:textId="77777777" w:rsidR="00652735" w:rsidRPr="00E75C22" w:rsidRDefault="00652735" w:rsidP="00652735">
      <w:pPr>
        <w:jc w:val="both"/>
        <w:rPr>
          <w:rFonts w:ascii="Arial" w:hAnsi="Arial" w:cs="Arial"/>
          <w:sz w:val="24"/>
          <w:szCs w:val="24"/>
        </w:rPr>
      </w:pPr>
    </w:p>
    <w:p w14:paraId="5B60D747" w14:textId="375E434B" w:rsidR="00652735" w:rsidRPr="00E75C22" w:rsidRDefault="004C5446" w:rsidP="00652735">
      <w:pPr>
        <w:jc w:val="both"/>
        <w:rPr>
          <w:rFonts w:ascii="Arial" w:hAnsi="Arial" w:cs="Arial"/>
          <w:sz w:val="24"/>
          <w:szCs w:val="24"/>
        </w:rPr>
      </w:pPr>
      <w:r>
        <w:rPr>
          <w:rFonts w:ascii="Arial" w:hAnsi="Arial" w:cs="Arial"/>
          <w:sz w:val="24"/>
          <w:szCs w:val="24"/>
          <w:u w:val="single"/>
        </w:rPr>
        <w:t>CLIENTE</w:t>
      </w:r>
      <w:r w:rsidR="00652735" w:rsidRPr="00E75C22">
        <w:rPr>
          <w:rFonts w:ascii="Arial" w:hAnsi="Arial" w:cs="Arial"/>
          <w:sz w:val="24"/>
          <w:szCs w:val="24"/>
        </w:rPr>
        <w:t>:</w:t>
      </w:r>
    </w:p>
    <w:p w14:paraId="2D2FB21C" w14:textId="77777777" w:rsidR="00652735" w:rsidRPr="00E75C22" w:rsidRDefault="00652735" w:rsidP="00652735">
      <w:pPr>
        <w:pStyle w:val="Corpodetexto3"/>
        <w:rPr>
          <w:rFonts w:cs="Arial"/>
          <w:b/>
          <w:sz w:val="24"/>
          <w:szCs w:val="24"/>
        </w:rPr>
      </w:pPr>
    </w:p>
    <w:p w14:paraId="19D0A48E" w14:textId="77777777" w:rsidR="00652735" w:rsidRPr="00184662" w:rsidRDefault="00652735" w:rsidP="00652735">
      <w:pPr>
        <w:tabs>
          <w:tab w:val="left" w:pos="675"/>
        </w:tabs>
        <w:jc w:val="both"/>
        <w:rPr>
          <w:rFonts w:ascii="Arial" w:hAnsi="Arial" w:cs="Arial"/>
          <w:sz w:val="24"/>
          <w:szCs w:val="24"/>
        </w:rPr>
      </w:pPr>
      <w:r w:rsidRPr="00E75C22">
        <w:rPr>
          <w:rFonts w:ascii="Arial" w:hAnsi="Arial" w:cs="Arial"/>
          <w:sz w:val="24"/>
          <w:szCs w:val="24"/>
          <w:u w:val="single"/>
        </w:rPr>
        <w:t>LIBERAÇÃO</w:t>
      </w:r>
      <w:r w:rsidRPr="00E75C22">
        <w:rPr>
          <w:rFonts w:ascii="Arial" w:hAnsi="Arial" w:cs="Arial"/>
          <w:sz w:val="24"/>
          <w:szCs w:val="24"/>
        </w:rPr>
        <w:t>: A INSTITUIÇÃO FINANCEIRA CREDENCIADA deverá</w:t>
      </w:r>
      <w:r w:rsidRPr="00184662">
        <w:rPr>
          <w:rFonts w:ascii="Arial" w:hAnsi="Arial" w:cs="Arial"/>
          <w:sz w:val="24"/>
          <w:szCs w:val="24"/>
        </w:rPr>
        <w:t xml:space="preserve"> liberar os recursos, no prazo máximo de 1 (um) dia útil, contado a partir da sua liberação pelo Sistema BNDES.</w:t>
      </w:r>
    </w:p>
    <w:p w14:paraId="7445A0E4" w14:textId="77777777" w:rsidR="00652735" w:rsidRPr="00184662" w:rsidRDefault="00652735" w:rsidP="00652735">
      <w:pPr>
        <w:jc w:val="both"/>
        <w:rPr>
          <w:rFonts w:ascii="Arial" w:hAnsi="Arial" w:cs="Arial"/>
          <w:sz w:val="24"/>
          <w:szCs w:val="24"/>
          <w:u w:val="single"/>
        </w:rPr>
      </w:pPr>
    </w:p>
    <w:p w14:paraId="2E3A4BB5" w14:textId="77777777" w:rsidR="00652735" w:rsidRPr="00184662" w:rsidRDefault="00652735" w:rsidP="00652735">
      <w:pPr>
        <w:jc w:val="both"/>
        <w:rPr>
          <w:rFonts w:ascii="Arial" w:hAnsi="Arial" w:cs="Arial"/>
          <w:sz w:val="24"/>
          <w:szCs w:val="24"/>
        </w:rPr>
      </w:pPr>
      <w:r w:rsidRPr="00184662">
        <w:rPr>
          <w:rFonts w:ascii="Arial" w:hAnsi="Arial" w:cs="Arial"/>
          <w:sz w:val="24"/>
          <w:szCs w:val="24"/>
          <w:u w:val="single"/>
        </w:rPr>
        <w:t>FINALIDADE</w:t>
      </w:r>
      <w:r w:rsidRPr="00184662">
        <w:rPr>
          <w:rFonts w:ascii="Arial" w:hAnsi="Arial" w:cs="Arial"/>
          <w:sz w:val="24"/>
          <w:szCs w:val="24"/>
        </w:rPr>
        <w:t xml:space="preserve">: </w:t>
      </w:r>
    </w:p>
    <w:p w14:paraId="0D77226B" w14:textId="77777777" w:rsidR="00652735" w:rsidRPr="00184662" w:rsidRDefault="00652735" w:rsidP="00652735">
      <w:pPr>
        <w:jc w:val="both"/>
        <w:rPr>
          <w:rFonts w:ascii="Arial" w:hAnsi="Arial" w:cs="Arial"/>
          <w:sz w:val="24"/>
          <w:szCs w:val="24"/>
          <w:u w:val="single"/>
        </w:rPr>
      </w:pPr>
    </w:p>
    <w:p w14:paraId="2E70172C" w14:textId="77777777" w:rsidR="00652735" w:rsidRPr="00184662" w:rsidRDefault="00652735" w:rsidP="00652735">
      <w:pPr>
        <w:jc w:val="both"/>
        <w:rPr>
          <w:rFonts w:ascii="Arial" w:hAnsi="Arial" w:cs="Arial"/>
          <w:sz w:val="24"/>
          <w:szCs w:val="24"/>
        </w:rPr>
      </w:pPr>
      <w:r w:rsidRPr="00184662">
        <w:rPr>
          <w:rFonts w:ascii="Arial" w:hAnsi="Arial" w:cs="Arial"/>
          <w:sz w:val="24"/>
          <w:szCs w:val="24"/>
          <w:u w:val="single"/>
        </w:rPr>
        <w:t>PRAZOS</w:t>
      </w:r>
      <w:r w:rsidRPr="00184662">
        <w:rPr>
          <w:rFonts w:ascii="Arial" w:hAnsi="Arial" w:cs="Arial"/>
          <w:sz w:val="24"/>
          <w:szCs w:val="24"/>
        </w:rPr>
        <w:t xml:space="preserve">: </w:t>
      </w:r>
    </w:p>
    <w:p w14:paraId="1D35C495" w14:textId="77777777" w:rsidR="00652735" w:rsidRPr="00184662" w:rsidRDefault="00652735" w:rsidP="00652735">
      <w:pPr>
        <w:jc w:val="both"/>
        <w:rPr>
          <w:rFonts w:ascii="Arial" w:hAnsi="Arial" w:cs="Arial"/>
          <w:sz w:val="24"/>
          <w:szCs w:val="24"/>
        </w:rPr>
      </w:pPr>
    </w:p>
    <w:p w14:paraId="3B5D9D6B" w14:textId="77777777" w:rsidR="00652735" w:rsidRPr="00184662" w:rsidRDefault="00652735" w:rsidP="00652735">
      <w:pPr>
        <w:jc w:val="both"/>
        <w:rPr>
          <w:rFonts w:ascii="Arial" w:hAnsi="Arial" w:cs="Arial"/>
          <w:sz w:val="24"/>
          <w:szCs w:val="24"/>
        </w:rPr>
      </w:pPr>
      <w:r w:rsidRPr="00184662">
        <w:rPr>
          <w:rFonts w:ascii="Arial" w:hAnsi="Arial" w:cs="Arial"/>
          <w:sz w:val="24"/>
          <w:szCs w:val="24"/>
          <w:u w:val="single"/>
        </w:rPr>
        <w:t>de Carência</w:t>
      </w:r>
      <w:r w:rsidRPr="00184662">
        <w:rPr>
          <w:rFonts w:ascii="Arial" w:hAnsi="Arial" w:cs="Arial"/>
          <w:sz w:val="24"/>
          <w:szCs w:val="24"/>
        </w:rPr>
        <w:t xml:space="preserve">: ....... (...........) meses, contados a partir do dia 15 (quinze) subsequentemente à data da formalização jurídica da operação, vencendo-se a primeira parcela de encargos em ...... </w:t>
      </w:r>
    </w:p>
    <w:p w14:paraId="116CE160" w14:textId="77777777" w:rsidR="00652735" w:rsidRDefault="00652735" w:rsidP="00652735">
      <w:pPr>
        <w:pStyle w:val="Corpodetexto3"/>
        <w:rPr>
          <w:rFonts w:cs="Arial"/>
          <w:b/>
          <w:sz w:val="24"/>
          <w:szCs w:val="24"/>
        </w:rPr>
      </w:pPr>
    </w:p>
    <w:p w14:paraId="190EC8A4" w14:textId="77777777" w:rsidR="00652735" w:rsidRPr="00184662" w:rsidRDefault="00652735" w:rsidP="00652735">
      <w:pPr>
        <w:jc w:val="both"/>
        <w:rPr>
          <w:rFonts w:ascii="Arial" w:hAnsi="Arial" w:cs="Arial"/>
          <w:sz w:val="24"/>
          <w:szCs w:val="24"/>
        </w:rPr>
      </w:pPr>
      <w:r w:rsidRPr="00184662">
        <w:rPr>
          <w:rFonts w:ascii="Arial" w:hAnsi="Arial" w:cs="Arial"/>
          <w:sz w:val="24"/>
          <w:szCs w:val="24"/>
          <w:u w:val="single"/>
        </w:rPr>
        <w:t>de Amortização</w:t>
      </w:r>
      <w:r w:rsidRPr="00184662">
        <w:rPr>
          <w:rFonts w:ascii="Arial" w:hAnsi="Arial" w:cs="Arial"/>
          <w:sz w:val="24"/>
          <w:szCs w:val="24"/>
        </w:rPr>
        <w:t>: ....... (...........) meses, sendo as prestações mensais/semestrais/anuais (conforme o caso) e sucessivas, cada uma delas no valor do principal vincendo atualizado da dívida, dividido pelo número de prestações de amortização ainda não vencidas, vencendo-se a primeira no dia 15 (quinze) do mês/semestre/ano (conforme o caso)  imediatamente subsequente ao término do prazo de carência, observado o disposto n</w:t>
      </w:r>
      <w:r>
        <w:rPr>
          <w:rFonts w:ascii="Arial" w:hAnsi="Arial" w:cs="Arial"/>
          <w:sz w:val="24"/>
          <w:szCs w:val="24"/>
        </w:rPr>
        <w:t>a</w:t>
      </w:r>
      <w:r w:rsidRPr="00184662">
        <w:rPr>
          <w:rFonts w:ascii="Arial" w:hAnsi="Arial" w:cs="Arial"/>
          <w:sz w:val="24"/>
          <w:szCs w:val="24"/>
        </w:rPr>
        <w:t xml:space="preserve"> </w:t>
      </w:r>
      <w:r>
        <w:rPr>
          <w:rFonts w:ascii="Arial" w:hAnsi="Arial" w:cs="Arial"/>
          <w:sz w:val="24"/>
          <w:szCs w:val="24"/>
        </w:rPr>
        <w:t>Cláusula</w:t>
      </w:r>
      <w:r w:rsidRPr="00184662">
        <w:rPr>
          <w:rFonts w:ascii="Arial" w:hAnsi="Arial" w:cs="Arial"/>
          <w:sz w:val="24"/>
          <w:szCs w:val="24"/>
        </w:rPr>
        <w:t xml:space="preserve"> “VENCIMENTO EM DIAS FERIADOS”.</w:t>
      </w:r>
    </w:p>
    <w:p w14:paraId="6733E7DC" w14:textId="77777777" w:rsidR="00652735" w:rsidRDefault="00652735" w:rsidP="00652735">
      <w:pPr>
        <w:pStyle w:val="Corpodetexto3"/>
        <w:rPr>
          <w:rFonts w:cs="Arial"/>
          <w:b/>
          <w:sz w:val="24"/>
          <w:szCs w:val="24"/>
        </w:rPr>
      </w:pPr>
    </w:p>
    <w:p w14:paraId="4D52CA2C" w14:textId="7EB064D7" w:rsidR="00652735" w:rsidRPr="00184662" w:rsidRDefault="00652735" w:rsidP="00652735">
      <w:pPr>
        <w:jc w:val="both"/>
        <w:rPr>
          <w:rFonts w:ascii="Arial" w:hAnsi="Arial" w:cs="Arial"/>
          <w:sz w:val="24"/>
          <w:szCs w:val="24"/>
        </w:rPr>
      </w:pPr>
      <w:r w:rsidRPr="00184662">
        <w:rPr>
          <w:rFonts w:ascii="Arial" w:hAnsi="Arial" w:cs="Arial"/>
          <w:sz w:val="24"/>
          <w:szCs w:val="24"/>
          <w:u w:val="single"/>
        </w:rPr>
        <w:t>PROCESSAMENTO E COBRANÇA DA DÍVIDA</w:t>
      </w:r>
      <w:r w:rsidRPr="00184662">
        <w:rPr>
          <w:rFonts w:ascii="Arial" w:hAnsi="Arial" w:cs="Arial"/>
          <w:sz w:val="24"/>
          <w:szCs w:val="24"/>
        </w:rPr>
        <w:t>: A cobrança do principal e encargos será feita mediante ................... (</w:t>
      </w:r>
      <w:r w:rsidRPr="00184662">
        <w:rPr>
          <w:rFonts w:ascii="Arial" w:hAnsi="Arial" w:cs="Arial"/>
          <w:b/>
          <w:sz w:val="24"/>
          <w:szCs w:val="24"/>
        </w:rPr>
        <w:t>estabelecer a forma como será feita a cobrança</w:t>
      </w:r>
      <w:r w:rsidRPr="00184662">
        <w:rPr>
          <w:rFonts w:ascii="Arial" w:hAnsi="Arial" w:cs="Arial"/>
          <w:sz w:val="24"/>
          <w:szCs w:val="24"/>
        </w:rPr>
        <w:t xml:space="preserve">), com antecedência, para </w:t>
      </w:r>
      <w:r w:rsidR="0080070D">
        <w:rPr>
          <w:rFonts w:ascii="Arial" w:hAnsi="Arial" w:cs="Arial"/>
          <w:sz w:val="24"/>
          <w:szCs w:val="24"/>
        </w:rPr>
        <w:t>o</w:t>
      </w:r>
      <w:r w:rsidRPr="00184662">
        <w:rPr>
          <w:rFonts w:ascii="Arial" w:hAnsi="Arial" w:cs="Arial"/>
          <w:sz w:val="24"/>
          <w:szCs w:val="24"/>
        </w:rPr>
        <w:t xml:space="preserve"> </w:t>
      </w:r>
      <w:r w:rsidR="004C5446">
        <w:rPr>
          <w:rFonts w:ascii="Arial" w:hAnsi="Arial" w:cs="Arial"/>
          <w:sz w:val="24"/>
          <w:szCs w:val="24"/>
        </w:rPr>
        <w:t>CLIENTE</w:t>
      </w:r>
      <w:r w:rsidRPr="00184662">
        <w:rPr>
          <w:rFonts w:ascii="Arial" w:hAnsi="Arial" w:cs="Arial"/>
          <w:sz w:val="24"/>
          <w:szCs w:val="24"/>
        </w:rPr>
        <w:t xml:space="preserve"> liquidar suas obrigações nas datas de vencimento. </w:t>
      </w:r>
    </w:p>
    <w:p w14:paraId="7C22DF5C" w14:textId="77777777" w:rsidR="00652735" w:rsidRPr="00184662" w:rsidRDefault="00652735" w:rsidP="00652735">
      <w:pPr>
        <w:pStyle w:val="ax"/>
        <w:ind w:left="0" w:firstLine="0"/>
      </w:pPr>
      <w:r w:rsidRPr="00797A8C">
        <w:rPr>
          <w:rFonts w:cs="Arial"/>
          <w:color w:val="000000"/>
          <w:szCs w:val="24"/>
        </w:rPr>
        <w:t>As obrigações financeiras decorrentes da operação realizada vencerão, observado o disposto n</w:t>
      </w:r>
      <w:r>
        <w:rPr>
          <w:rFonts w:cs="Arial"/>
          <w:color w:val="000000"/>
          <w:szCs w:val="24"/>
        </w:rPr>
        <w:t>a Cláusula</w:t>
      </w:r>
      <w:r w:rsidRPr="00797A8C">
        <w:rPr>
          <w:rFonts w:cs="Arial"/>
          <w:color w:val="000000"/>
          <w:szCs w:val="24"/>
        </w:rPr>
        <w:t xml:space="preserve"> “Vencimento em Dias Feriados”, no dia 15 (quinze) de cada mês</w:t>
      </w:r>
      <w:r>
        <w:rPr>
          <w:rFonts w:cs="Arial"/>
          <w:color w:val="000000"/>
          <w:szCs w:val="24"/>
        </w:rPr>
        <w:t>.</w:t>
      </w:r>
    </w:p>
    <w:p w14:paraId="60DFC368" w14:textId="77777777" w:rsidR="00652735" w:rsidRPr="00184662" w:rsidRDefault="00652735" w:rsidP="00652735">
      <w:pPr>
        <w:pStyle w:val="a"/>
        <w:ind w:left="0" w:firstLine="0"/>
        <w:rPr>
          <w:rFonts w:cs="Arial"/>
          <w:color w:val="000000"/>
          <w:szCs w:val="24"/>
          <w:u w:val="single"/>
        </w:rPr>
      </w:pPr>
      <w:r w:rsidRPr="00797A8C">
        <w:rPr>
          <w:rFonts w:cs="Arial"/>
          <w:color w:val="000000"/>
          <w:szCs w:val="24"/>
          <w:u w:val="single"/>
        </w:rPr>
        <w:t xml:space="preserve">VENCIMENTO EM DIAS FERIADOS: </w:t>
      </w:r>
      <w:r w:rsidRPr="00050EC3">
        <w:rPr>
          <w:rFonts w:cs="Arial"/>
          <w:color w:val="000000"/>
          <w:szCs w:val="24"/>
        </w:rPr>
        <w:t>Todo vencimento de prestação de amortização de principal e encargos que ocorra em sábados, domingos ou feriados nacionais, estaduais, distritais ou municipais, i</w:t>
      </w:r>
      <w:r w:rsidRPr="007A4415">
        <w:rPr>
          <w:rFonts w:cs="Arial"/>
          <w:color w:val="000000"/>
          <w:szCs w:val="24"/>
        </w:rPr>
        <w:t xml:space="preserve">nclusive os bancários, será, para todos os fins e efeitos, deslocado para o primeiro dia útil subsequente, sendo os encargos calculados até essa data, e se iniciando, também a partir dessa data, o período seguinte regular de apuração e cálculo dos encargos do Contrato. </w:t>
      </w:r>
    </w:p>
    <w:p w14:paraId="035857B5" w14:textId="77777777" w:rsidR="00652735" w:rsidRPr="00184662" w:rsidRDefault="00652735" w:rsidP="00652735">
      <w:pPr>
        <w:jc w:val="both"/>
        <w:rPr>
          <w:rFonts w:ascii="Arial" w:hAnsi="Arial" w:cs="Arial"/>
          <w:sz w:val="24"/>
          <w:szCs w:val="24"/>
        </w:rPr>
      </w:pPr>
    </w:p>
    <w:p w14:paraId="6F2975F2" w14:textId="77777777" w:rsidR="00652735" w:rsidRPr="00184662" w:rsidRDefault="00652735" w:rsidP="00652735">
      <w:pPr>
        <w:pStyle w:val="Corpodetexto"/>
        <w:rPr>
          <w:rFonts w:cs="Arial"/>
          <w:sz w:val="24"/>
          <w:szCs w:val="24"/>
          <w:u w:val="single"/>
        </w:rPr>
      </w:pPr>
      <w:r w:rsidRPr="00184662">
        <w:rPr>
          <w:rFonts w:cs="Arial"/>
          <w:sz w:val="24"/>
          <w:szCs w:val="24"/>
          <w:u w:val="single"/>
        </w:rPr>
        <w:t>GARANTIAS</w:t>
      </w:r>
      <w:r w:rsidRPr="00184662">
        <w:rPr>
          <w:rFonts w:cs="Arial"/>
          <w:sz w:val="24"/>
          <w:szCs w:val="24"/>
        </w:rPr>
        <w:t>:</w:t>
      </w:r>
      <w:r w:rsidRPr="00184662">
        <w:rPr>
          <w:rFonts w:cs="Arial"/>
          <w:sz w:val="24"/>
          <w:szCs w:val="24"/>
        </w:rPr>
        <w:tab/>
        <w:t>REAL(IS)............</w:t>
      </w:r>
    </w:p>
    <w:p w14:paraId="53C4471C" w14:textId="370FE49E" w:rsidR="00652735" w:rsidRPr="00B82233" w:rsidRDefault="00652735" w:rsidP="00B82233">
      <w:pPr>
        <w:pStyle w:val="Corpodetexto"/>
        <w:tabs>
          <w:tab w:val="left" w:pos="1418"/>
        </w:tabs>
        <w:ind w:left="1418"/>
        <w:rPr>
          <w:rFonts w:cs="Arial"/>
          <w:bCs/>
          <w:sz w:val="24"/>
          <w:szCs w:val="24"/>
        </w:rPr>
      </w:pPr>
      <w:r>
        <w:rPr>
          <w:rFonts w:cs="Arial"/>
          <w:sz w:val="24"/>
          <w:szCs w:val="24"/>
        </w:rPr>
        <w:t xml:space="preserve">          </w:t>
      </w:r>
      <w:r w:rsidRPr="00184662">
        <w:rPr>
          <w:rFonts w:cs="Arial"/>
          <w:sz w:val="24"/>
          <w:szCs w:val="24"/>
        </w:rPr>
        <w:t>PESSOAL(IS)............</w:t>
      </w:r>
      <w:r w:rsidRPr="00184662">
        <w:rPr>
          <w:rFonts w:cs="Arial"/>
          <w:bCs/>
          <w:sz w:val="24"/>
          <w:szCs w:val="24"/>
        </w:rPr>
        <w:t xml:space="preserve"> </w:t>
      </w:r>
    </w:p>
    <w:p w14:paraId="50F1C308" w14:textId="0008BA5D" w:rsidR="00F3251B" w:rsidRPr="009E0819" w:rsidRDefault="00F3251B" w:rsidP="00F3251B">
      <w:pPr>
        <w:keepNext/>
        <w:spacing w:before="180"/>
        <w:jc w:val="both"/>
        <w:rPr>
          <w:rFonts w:ascii="Arial" w:hAnsi="Arial" w:cs="Arial"/>
          <w:sz w:val="24"/>
          <w:szCs w:val="24"/>
          <w:u w:val="single"/>
        </w:rPr>
      </w:pPr>
      <w:r w:rsidRPr="00B82233">
        <w:rPr>
          <w:rFonts w:ascii="Arial" w:hAnsi="Arial" w:cs="Arial"/>
          <w:sz w:val="24"/>
          <w:szCs w:val="24"/>
          <w:u w:val="single"/>
        </w:rPr>
        <w:lastRenderedPageBreak/>
        <w:t>DECLARAÇÕES D</w:t>
      </w:r>
      <w:r w:rsidR="0080070D">
        <w:rPr>
          <w:rFonts w:ascii="Arial" w:hAnsi="Arial" w:cs="Arial"/>
          <w:sz w:val="24"/>
          <w:szCs w:val="24"/>
          <w:u w:val="single"/>
        </w:rPr>
        <w:t>O</w:t>
      </w:r>
      <w:r w:rsidRPr="00B82233">
        <w:rPr>
          <w:rFonts w:ascii="Arial" w:hAnsi="Arial" w:cs="Arial"/>
          <w:sz w:val="24"/>
          <w:szCs w:val="24"/>
          <w:u w:val="single"/>
        </w:rPr>
        <w:t xml:space="preserve"> </w:t>
      </w:r>
      <w:r w:rsidR="004C5446">
        <w:rPr>
          <w:rFonts w:ascii="Arial" w:hAnsi="Arial" w:cs="Arial"/>
          <w:sz w:val="24"/>
          <w:szCs w:val="24"/>
          <w:u w:val="single"/>
        </w:rPr>
        <w:t>CLIENTE</w:t>
      </w:r>
      <w:r w:rsidRPr="00293A77">
        <w:rPr>
          <w:rFonts w:ascii="Arial" w:hAnsi="Arial" w:cs="Arial"/>
          <w:sz w:val="24"/>
          <w:szCs w:val="24"/>
        </w:rPr>
        <w:t>: as</w:t>
      </w:r>
      <w:r w:rsidRPr="009E0819">
        <w:rPr>
          <w:rFonts w:ascii="Arial" w:hAnsi="Arial" w:cs="Arial"/>
          <w:sz w:val="24"/>
          <w:szCs w:val="24"/>
        </w:rPr>
        <w:t xml:space="preserve"> quais, em caso de falsidade, o seu declarante sujeitar-se-á à aplicação de sanções de natureza </w:t>
      </w:r>
      <w:r w:rsidR="00E46F36">
        <w:rPr>
          <w:rFonts w:ascii="Arial" w:hAnsi="Arial" w:cs="Arial"/>
          <w:sz w:val="24"/>
          <w:szCs w:val="24"/>
        </w:rPr>
        <w:t>administrativa,</w:t>
      </w:r>
      <w:r w:rsidR="00A204A1" w:rsidRPr="009E0819">
        <w:rPr>
          <w:rFonts w:ascii="Arial" w:hAnsi="Arial" w:cs="Arial"/>
          <w:sz w:val="24"/>
          <w:szCs w:val="24"/>
        </w:rPr>
        <w:t xml:space="preserve"> penal</w:t>
      </w:r>
      <w:r w:rsidR="00E46F36">
        <w:rPr>
          <w:rFonts w:ascii="Arial" w:hAnsi="Arial" w:cs="Arial"/>
          <w:sz w:val="24"/>
          <w:szCs w:val="24"/>
        </w:rPr>
        <w:t xml:space="preserve"> e</w:t>
      </w:r>
      <w:r w:rsidR="00A204A1" w:rsidRPr="009E0819">
        <w:rPr>
          <w:rFonts w:ascii="Arial" w:hAnsi="Arial" w:cs="Arial"/>
          <w:sz w:val="24"/>
          <w:szCs w:val="24"/>
        </w:rPr>
        <w:t xml:space="preserve"> </w:t>
      </w:r>
      <w:r w:rsidRPr="009E0819">
        <w:rPr>
          <w:rFonts w:ascii="Arial" w:hAnsi="Arial" w:cs="Arial"/>
          <w:sz w:val="24"/>
          <w:szCs w:val="24"/>
        </w:rPr>
        <w:t>civil,</w:t>
      </w:r>
      <w:r w:rsidR="00983152">
        <w:rPr>
          <w:rFonts w:ascii="Arial" w:hAnsi="Arial" w:cs="Arial"/>
          <w:sz w:val="24"/>
          <w:szCs w:val="24"/>
        </w:rPr>
        <w:t xml:space="preserve"> como </w:t>
      </w:r>
      <w:r w:rsidR="00A204A1">
        <w:rPr>
          <w:rFonts w:ascii="Arial" w:hAnsi="Arial" w:cs="Arial"/>
          <w:sz w:val="24"/>
          <w:szCs w:val="24"/>
        </w:rPr>
        <w:t xml:space="preserve">o </w:t>
      </w:r>
      <w:r w:rsidR="00983152">
        <w:rPr>
          <w:rFonts w:ascii="Arial" w:hAnsi="Arial" w:cs="Arial"/>
          <w:sz w:val="24"/>
          <w:szCs w:val="24"/>
        </w:rPr>
        <w:t>vencimento antecipado da operação,</w:t>
      </w:r>
      <w:r w:rsidRPr="009E0819">
        <w:rPr>
          <w:rFonts w:ascii="Arial" w:hAnsi="Arial" w:cs="Arial"/>
          <w:sz w:val="24"/>
          <w:szCs w:val="24"/>
        </w:rPr>
        <w:t xml:space="preserve"> </w:t>
      </w:r>
      <w:r w:rsidR="00A204A1">
        <w:rPr>
          <w:rFonts w:ascii="Arial" w:hAnsi="Arial" w:cs="Arial"/>
          <w:sz w:val="24"/>
          <w:szCs w:val="24"/>
        </w:rPr>
        <w:t xml:space="preserve">nos termos do </w:t>
      </w:r>
      <w:r w:rsidR="00A204A1" w:rsidRPr="00B82233">
        <w:rPr>
          <w:rFonts w:ascii="Arial" w:hAnsi="Arial" w:cs="Arial"/>
          <w:sz w:val="24"/>
          <w:szCs w:val="24"/>
        </w:rPr>
        <w:t>Anexo V</w:t>
      </w:r>
      <w:r w:rsidR="00A204A1">
        <w:rPr>
          <w:rFonts w:ascii="Arial" w:hAnsi="Arial" w:cs="Arial"/>
          <w:sz w:val="24"/>
          <w:szCs w:val="24"/>
        </w:rPr>
        <w:t xml:space="preserve"> a esta Circular</w:t>
      </w:r>
      <w:r w:rsidRPr="009E0819">
        <w:rPr>
          <w:rFonts w:ascii="Arial" w:hAnsi="Arial" w:cs="Arial"/>
          <w:sz w:val="24"/>
          <w:szCs w:val="24"/>
        </w:rPr>
        <w:t xml:space="preserve">. </w:t>
      </w:r>
    </w:p>
    <w:p w14:paraId="65D3DF3F" w14:textId="6E51A0D0" w:rsidR="00F3251B" w:rsidRDefault="0080070D" w:rsidP="008C1CEE">
      <w:pPr>
        <w:keepNext/>
        <w:spacing w:before="180"/>
        <w:jc w:val="both"/>
        <w:rPr>
          <w:rFonts w:ascii="Arial" w:hAnsi="Arial" w:cs="Arial"/>
          <w:sz w:val="24"/>
          <w:szCs w:val="24"/>
        </w:rPr>
      </w:pPr>
      <w:r>
        <w:rPr>
          <w:rFonts w:ascii="Arial" w:hAnsi="Arial" w:cs="Arial"/>
          <w:sz w:val="24"/>
          <w:szCs w:val="24"/>
        </w:rPr>
        <w:t>O</w:t>
      </w:r>
      <w:r w:rsidR="00F3251B" w:rsidRPr="009E0819">
        <w:rPr>
          <w:rFonts w:ascii="Arial" w:hAnsi="Arial" w:cs="Arial"/>
          <w:sz w:val="24"/>
          <w:szCs w:val="24"/>
        </w:rPr>
        <w:t xml:space="preserve"> </w:t>
      </w:r>
      <w:r w:rsidR="004C5446">
        <w:rPr>
          <w:rFonts w:ascii="Arial" w:hAnsi="Arial" w:cs="Arial"/>
          <w:sz w:val="24"/>
          <w:szCs w:val="24"/>
        </w:rPr>
        <w:t>CLIENTE</w:t>
      </w:r>
      <w:r w:rsidR="00F3251B" w:rsidRPr="009E0819">
        <w:rPr>
          <w:rFonts w:ascii="Arial" w:hAnsi="Arial" w:cs="Arial"/>
          <w:sz w:val="24"/>
          <w:szCs w:val="24"/>
        </w:rPr>
        <w:t xml:space="preserve"> declara</w:t>
      </w:r>
      <w:r w:rsidR="00F3251B">
        <w:rPr>
          <w:rFonts w:ascii="Arial" w:hAnsi="Arial" w:cs="Arial"/>
          <w:sz w:val="24"/>
          <w:szCs w:val="24"/>
        </w:rPr>
        <w:t>:</w:t>
      </w:r>
      <w:r w:rsidR="00F3251B" w:rsidRPr="009E0819">
        <w:rPr>
          <w:rFonts w:ascii="Arial" w:hAnsi="Arial" w:cs="Arial"/>
          <w:sz w:val="24"/>
          <w:szCs w:val="24"/>
        </w:rPr>
        <w:t xml:space="preserve"> </w:t>
      </w:r>
    </w:p>
    <w:p w14:paraId="0C286FD2" w14:textId="77777777" w:rsidR="00F3251B" w:rsidRDefault="00F3251B" w:rsidP="008C1CEE">
      <w:pPr>
        <w:keepNext/>
        <w:numPr>
          <w:ilvl w:val="0"/>
          <w:numId w:val="2"/>
        </w:numPr>
        <w:tabs>
          <w:tab w:val="left" w:pos="851"/>
        </w:tabs>
        <w:spacing w:before="180"/>
        <w:ind w:left="851" w:hanging="851"/>
        <w:jc w:val="both"/>
        <w:rPr>
          <w:rFonts w:ascii="Arial" w:hAnsi="Arial" w:cs="Arial"/>
          <w:sz w:val="24"/>
          <w:szCs w:val="24"/>
        </w:rPr>
      </w:pPr>
      <w:r w:rsidRPr="009E0819">
        <w:rPr>
          <w:rFonts w:ascii="Arial" w:hAnsi="Arial" w:cs="Arial"/>
          <w:sz w:val="24"/>
          <w:szCs w:val="24"/>
        </w:rPr>
        <w:t>possuir pleno poder, autoridade e capacidade para celebrar o contrato e cumprir as obrigações assumidas, tendo adotado todas as medidas societárias necessárias para autorizar a respectiva celebração</w:t>
      </w:r>
      <w:r>
        <w:rPr>
          <w:rFonts w:ascii="Arial" w:hAnsi="Arial" w:cs="Arial"/>
          <w:sz w:val="24"/>
          <w:szCs w:val="24"/>
        </w:rPr>
        <w:t>;</w:t>
      </w:r>
    </w:p>
    <w:p w14:paraId="358B2DEF" w14:textId="4B4AB166" w:rsidR="00434370" w:rsidRDefault="005861C0" w:rsidP="008C1CEE">
      <w:pPr>
        <w:keepNext/>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cumpr</w:t>
      </w:r>
      <w:r w:rsidR="00434370">
        <w:rPr>
          <w:rFonts w:ascii="Arial" w:hAnsi="Arial" w:cs="Arial"/>
          <w:sz w:val="24"/>
          <w:szCs w:val="24"/>
        </w:rPr>
        <w:t>ir</w:t>
      </w:r>
      <w:r>
        <w:rPr>
          <w:rFonts w:ascii="Arial" w:hAnsi="Arial" w:cs="Arial"/>
          <w:sz w:val="24"/>
          <w:szCs w:val="24"/>
        </w:rPr>
        <w:t xml:space="preserve"> o disposto na legislação referente à Política Nacional do Meio Ambiente e adota</w:t>
      </w:r>
      <w:r w:rsidR="003720A4">
        <w:rPr>
          <w:rFonts w:ascii="Arial" w:hAnsi="Arial" w:cs="Arial"/>
          <w:sz w:val="24"/>
          <w:szCs w:val="24"/>
        </w:rPr>
        <w:t>ndo</w:t>
      </w:r>
      <w:r>
        <w:rPr>
          <w:rFonts w:ascii="Arial" w:hAnsi="Arial" w:cs="Arial"/>
          <w:sz w:val="24"/>
          <w:szCs w:val="24"/>
        </w:rPr>
        <w:t xml:space="preserve"> medidas e ações destinadas a evitar ou corrigir danos ou violações ao meio ambiente, segurança e medicina do trabalho que possam vir a ser causados em decorrência do projeto; </w:t>
      </w:r>
    </w:p>
    <w:p w14:paraId="3445603D" w14:textId="02AF4E60" w:rsidR="00434370" w:rsidRDefault="00476985" w:rsidP="008C1CEE">
      <w:pPr>
        <w:keepNext/>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 xml:space="preserve">que </w:t>
      </w:r>
      <w:r w:rsidR="005861C0">
        <w:rPr>
          <w:rFonts w:ascii="Arial" w:hAnsi="Arial" w:cs="Arial"/>
          <w:sz w:val="24"/>
          <w:szCs w:val="24"/>
        </w:rPr>
        <w:t xml:space="preserve">está regular perante os órgãos do meio ambiente, permanecendo válidas todas as licenças, autorizações, outorgas e afins atualmente necessárias para o projeto apresentadas à INSTITUIÇÃO FINANCEIRA CREDENCIADA; </w:t>
      </w:r>
    </w:p>
    <w:p w14:paraId="7F241A7E" w14:textId="741CE98F" w:rsidR="005861C0" w:rsidRDefault="005861C0" w:rsidP="008C1CEE">
      <w:pPr>
        <w:keepNext/>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não te</w:t>
      </w:r>
      <w:r w:rsidR="003720A4">
        <w:rPr>
          <w:rFonts w:ascii="Arial" w:hAnsi="Arial" w:cs="Arial"/>
          <w:sz w:val="24"/>
          <w:szCs w:val="24"/>
        </w:rPr>
        <w:t>r</w:t>
      </w:r>
      <w:r>
        <w:rPr>
          <w:rFonts w:ascii="Arial" w:hAnsi="Arial" w:cs="Arial"/>
          <w:sz w:val="24"/>
          <w:szCs w:val="24"/>
        </w:rPr>
        <w:t xml:space="preserve"> conhecimento de qualquer fato ou evento, incluindo a emissão de decisão administrativa ou judicial, que comprometa a regularidade ambiental do projeto financiado;</w:t>
      </w:r>
    </w:p>
    <w:p w14:paraId="06568F67" w14:textId="11FDDF8E" w:rsidR="00F3251B" w:rsidRDefault="00F3251B" w:rsidP="008C1CEE">
      <w:pPr>
        <w:keepNext/>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 xml:space="preserve">cumprir as leis, regulamentos e políticas anticorrupção, bem como as determinações e regras emanadas por qualquer órgão ou entidade, nacional ou estrangeiro, a que esteja sujeita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w:t>
      </w:r>
      <w:r w:rsidR="00865D2D" w:rsidRPr="005B4A7E">
        <w:rPr>
          <w:rFonts w:ascii="Arial" w:hAnsi="Arial" w:cs="Arial"/>
          <w:sz w:val="24"/>
          <w:szCs w:val="24"/>
        </w:rPr>
        <w:t>contra o Estado Democrático de Direito</w:t>
      </w:r>
      <w:r w:rsidR="00865D2D">
        <w:rPr>
          <w:rFonts w:ascii="Arial" w:hAnsi="Arial" w:cs="Arial"/>
          <w:sz w:val="24"/>
          <w:szCs w:val="24"/>
        </w:rPr>
        <w:t xml:space="preserve">, </w:t>
      </w:r>
      <w:r>
        <w:rPr>
          <w:rFonts w:ascii="Arial" w:hAnsi="Arial" w:cs="Arial"/>
          <w:sz w:val="24"/>
          <w:szCs w:val="24"/>
        </w:rPr>
        <w:t>de “lavagem” ou ocultação de bens, direitos e valores, terrorismo ou financiamento ao terrorismo, previstos na legislação nacional e/ou estrangeira aplicável;</w:t>
      </w:r>
      <w:r w:rsidR="00865D2D">
        <w:rPr>
          <w:rFonts w:ascii="Arial" w:hAnsi="Arial" w:cs="Arial"/>
          <w:sz w:val="24"/>
          <w:szCs w:val="24"/>
        </w:rPr>
        <w:t xml:space="preserve"> </w:t>
      </w:r>
      <w:r w:rsidR="00865D2D" w:rsidRPr="0027472D">
        <w:rPr>
          <w:rFonts w:ascii="Arial" w:hAnsi="Arial" w:cs="Arial"/>
          <w:b/>
          <w:i/>
          <w:color w:val="000099"/>
          <w:szCs w:val="24"/>
        </w:rPr>
        <w:t>(</w:t>
      </w:r>
      <w:r w:rsidR="00865D2D">
        <w:rPr>
          <w:rFonts w:ascii="Arial" w:hAnsi="Arial" w:cs="Arial"/>
          <w:b/>
          <w:i/>
          <w:color w:val="000099"/>
          <w:szCs w:val="24"/>
        </w:rPr>
        <w:t>Alterado</w:t>
      </w:r>
      <w:r w:rsidR="00865D2D" w:rsidRPr="0027472D">
        <w:rPr>
          <w:rFonts w:ascii="Arial" w:hAnsi="Arial" w:cs="Arial"/>
          <w:b/>
          <w:i/>
          <w:color w:val="000099"/>
          <w:szCs w:val="24"/>
        </w:rPr>
        <w:t xml:space="preserve"> pela Circular SUP/ADIG Nº </w:t>
      </w:r>
      <w:r w:rsidR="00865D2D">
        <w:rPr>
          <w:rFonts w:ascii="Arial" w:hAnsi="Arial" w:cs="Arial"/>
          <w:b/>
          <w:i/>
          <w:color w:val="000099"/>
          <w:szCs w:val="24"/>
        </w:rPr>
        <w:t>66</w:t>
      </w:r>
      <w:r w:rsidR="00865D2D" w:rsidRPr="0027472D">
        <w:rPr>
          <w:rFonts w:ascii="Arial" w:hAnsi="Arial" w:cs="Arial"/>
          <w:b/>
          <w:i/>
          <w:color w:val="000099"/>
          <w:szCs w:val="24"/>
        </w:rPr>
        <w:t>/202</w:t>
      </w:r>
      <w:r w:rsidR="00865D2D">
        <w:rPr>
          <w:rFonts w:ascii="Arial" w:hAnsi="Arial" w:cs="Arial"/>
          <w:b/>
          <w:i/>
          <w:color w:val="000099"/>
          <w:szCs w:val="24"/>
        </w:rPr>
        <w:t>4</w:t>
      </w:r>
      <w:r w:rsidR="00865D2D" w:rsidRPr="0027472D">
        <w:rPr>
          <w:rFonts w:ascii="Arial" w:hAnsi="Arial" w:cs="Arial"/>
          <w:b/>
          <w:i/>
          <w:color w:val="000099"/>
          <w:szCs w:val="24"/>
        </w:rPr>
        <w:t xml:space="preserve">-BNDES, de </w:t>
      </w:r>
      <w:r w:rsidR="00865D2D">
        <w:rPr>
          <w:rFonts w:ascii="Arial" w:hAnsi="Arial" w:cs="Arial"/>
          <w:b/>
          <w:i/>
          <w:color w:val="000099"/>
          <w:szCs w:val="24"/>
        </w:rPr>
        <w:t>29</w:t>
      </w:r>
      <w:r w:rsidR="00865D2D" w:rsidRPr="0027472D">
        <w:rPr>
          <w:rFonts w:ascii="Arial" w:hAnsi="Arial" w:cs="Arial"/>
          <w:b/>
          <w:i/>
          <w:color w:val="000099"/>
          <w:szCs w:val="24"/>
        </w:rPr>
        <w:t>.0</w:t>
      </w:r>
      <w:r w:rsidR="00865D2D">
        <w:rPr>
          <w:rFonts w:ascii="Arial" w:hAnsi="Arial" w:cs="Arial"/>
          <w:b/>
          <w:i/>
          <w:color w:val="000099"/>
          <w:szCs w:val="24"/>
        </w:rPr>
        <w:t>7</w:t>
      </w:r>
      <w:r w:rsidR="00865D2D" w:rsidRPr="0027472D">
        <w:rPr>
          <w:rFonts w:ascii="Arial" w:hAnsi="Arial" w:cs="Arial"/>
          <w:b/>
          <w:i/>
          <w:color w:val="000099"/>
          <w:szCs w:val="24"/>
        </w:rPr>
        <w:t>.202</w:t>
      </w:r>
      <w:r w:rsidR="00865D2D">
        <w:rPr>
          <w:rFonts w:ascii="Arial" w:hAnsi="Arial" w:cs="Arial"/>
          <w:b/>
          <w:i/>
          <w:color w:val="000099"/>
          <w:szCs w:val="24"/>
        </w:rPr>
        <w:t>4</w:t>
      </w:r>
      <w:r w:rsidR="00865D2D" w:rsidRPr="0027472D">
        <w:rPr>
          <w:rFonts w:ascii="Arial" w:hAnsi="Arial" w:cs="Arial"/>
          <w:b/>
          <w:i/>
          <w:color w:val="000099"/>
          <w:szCs w:val="24"/>
        </w:rPr>
        <w:t>)</w:t>
      </w:r>
    </w:p>
    <w:p w14:paraId="41C81A2A" w14:textId="00B2DAEA" w:rsidR="00F3251B" w:rsidRDefault="00F3251B" w:rsidP="008C1CEE">
      <w:pPr>
        <w:keepNext/>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 xml:space="preserve">não ter conhecimento de que fornecedores de produto ou serviço essencial para a execução do projeto/operação tenham praticado qualquer ato com ele relacionado que infrinja qualquer uma das normas mencionadas no item </w:t>
      </w:r>
      <w:r w:rsidR="00774F80">
        <w:rPr>
          <w:rFonts w:ascii="Arial" w:hAnsi="Arial" w:cs="Arial"/>
          <w:sz w:val="24"/>
          <w:szCs w:val="24"/>
        </w:rPr>
        <w:t>V</w:t>
      </w:r>
      <w:r>
        <w:rPr>
          <w:rFonts w:ascii="Arial" w:hAnsi="Arial" w:cs="Arial"/>
          <w:sz w:val="24"/>
          <w:szCs w:val="24"/>
        </w:rPr>
        <w:t xml:space="preserve"> acima;</w:t>
      </w:r>
    </w:p>
    <w:p w14:paraId="34A09C7E" w14:textId="48250317" w:rsidR="00F3251B" w:rsidRDefault="00F3251B" w:rsidP="008C1CEE">
      <w:pPr>
        <w:keepNext/>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 xml:space="preserve">que nem </w:t>
      </w:r>
      <w:r w:rsidR="0080070D">
        <w:rPr>
          <w:rFonts w:ascii="Arial" w:hAnsi="Arial" w:cs="Arial"/>
          <w:sz w:val="24"/>
          <w:szCs w:val="24"/>
        </w:rPr>
        <w:t>o</w:t>
      </w:r>
      <w:r>
        <w:rPr>
          <w:rFonts w:ascii="Arial" w:hAnsi="Arial" w:cs="Arial"/>
          <w:sz w:val="24"/>
          <w:szCs w:val="24"/>
        </w:rPr>
        <w:t xml:space="preserve"> </w:t>
      </w:r>
      <w:r w:rsidR="004C5446">
        <w:rPr>
          <w:rFonts w:ascii="Arial" w:hAnsi="Arial" w:cs="Arial"/>
          <w:sz w:val="24"/>
          <w:szCs w:val="24"/>
        </w:rPr>
        <w:t>CLIENTE</w:t>
      </w:r>
      <w:r>
        <w:rPr>
          <w:rFonts w:ascii="Arial" w:hAnsi="Arial" w:cs="Arial"/>
          <w:sz w:val="24"/>
          <w:szCs w:val="24"/>
        </w:rPr>
        <w:t>, nem suas controladas diretas ou indiretas, ou ainda, qualquer dos respectivos dirigentes ou administradores, empregados mandatários e representantes estão atualmente sujeitos a qualquer embargo administrado ou executado pelo Estado brasileiro;</w:t>
      </w:r>
    </w:p>
    <w:p w14:paraId="10A06272" w14:textId="77777777" w:rsidR="00F3251B" w:rsidRDefault="00F3251B" w:rsidP="008C1CEE">
      <w:pPr>
        <w:keepNext/>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não ter conhecimento de quaisquer fatos que não tenham sido expressamente declarados e que, se conhecidos, poderiam afetar adversamente a decisão de concessão do financiamento;</w:t>
      </w:r>
    </w:p>
    <w:p w14:paraId="73ED6CA1" w14:textId="12CC9B11" w:rsidR="00F3251B" w:rsidRDefault="00F3251B" w:rsidP="008C1CEE">
      <w:pPr>
        <w:keepNext/>
        <w:numPr>
          <w:ilvl w:val="0"/>
          <w:numId w:val="2"/>
        </w:numPr>
        <w:tabs>
          <w:tab w:val="left" w:pos="851"/>
        </w:tabs>
        <w:spacing w:before="180"/>
        <w:ind w:left="851" w:hanging="851"/>
        <w:jc w:val="both"/>
        <w:rPr>
          <w:rFonts w:ascii="Arial" w:hAnsi="Arial" w:cs="Arial"/>
          <w:sz w:val="24"/>
          <w:szCs w:val="24"/>
        </w:rPr>
      </w:pPr>
      <w:r w:rsidRPr="0027472D">
        <w:rPr>
          <w:rFonts w:ascii="Arial" w:hAnsi="Arial" w:cs="Arial"/>
          <w:strike/>
          <w:sz w:val="24"/>
          <w:szCs w:val="24"/>
        </w:rPr>
        <w:t xml:space="preserve">que inexiste, contra si e seus dirigentes/administradores, ou, caso exista, já tenha sido comprovado o cumprimento da reparação imposta ou a sua reabilitação, decisão administrativa final sancionadora exarada por autoridade ou órgão competente, em razão da prática de atos que importem discriminação de raça ou de gênero, trabalho infantil e trabalho escravo, e/ou sentença condenatória transitada em julgado, proferida em decorrência dos referidos atos, ou ainda, de outros que caracterizem assédio moral ou sexual, ou que importem crime contra o </w:t>
      </w:r>
      <w:r w:rsidRPr="0027472D">
        <w:rPr>
          <w:rFonts w:ascii="Arial" w:hAnsi="Arial" w:cs="Arial"/>
          <w:strike/>
          <w:sz w:val="24"/>
          <w:szCs w:val="24"/>
        </w:rPr>
        <w:lastRenderedPageBreak/>
        <w:t>meio ambiente, e que não praticará referidos atos durante a vigência d</w:t>
      </w:r>
      <w:r w:rsidR="00DB4682" w:rsidRPr="0027472D">
        <w:rPr>
          <w:rFonts w:ascii="Arial" w:hAnsi="Arial" w:cs="Arial"/>
          <w:strike/>
          <w:sz w:val="24"/>
          <w:szCs w:val="24"/>
        </w:rPr>
        <w:t>a</w:t>
      </w:r>
      <w:r w:rsidRPr="0027472D">
        <w:rPr>
          <w:rFonts w:ascii="Arial" w:hAnsi="Arial" w:cs="Arial"/>
          <w:strike/>
          <w:sz w:val="24"/>
          <w:szCs w:val="24"/>
        </w:rPr>
        <w:t xml:space="preserve"> o</w:t>
      </w:r>
      <w:r w:rsidR="00DB4682" w:rsidRPr="0027472D">
        <w:rPr>
          <w:rFonts w:ascii="Arial" w:hAnsi="Arial" w:cs="Arial"/>
          <w:strike/>
          <w:sz w:val="24"/>
          <w:szCs w:val="24"/>
        </w:rPr>
        <w:t>peração de crédito</w:t>
      </w:r>
      <w:r w:rsidR="0027472D">
        <w:rPr>
          <w:rFonts w:ascii="Arial" w:hAnsi="Arial" w:cs="Arial"/>
          <w:sz w:val="24"/>
          <w:szCs w:val="24"/>
        </w:rPr>
        <w:t xml:space="preserve"> </w:t>
      </w:r>
      <w:r w:rsidR="0027472D" w:rsidRPr="0027472D">
        <w:rPr>
          <w:rFonts w:ascii="Arial" w:hAnsi="Arial" w:cs="Arial"/>
          <w:sz w:val="24"/>
          <w:szCs w:val="24"/>
        </w:rPr>
        <w:t>que inexiste decisão administrativa final sancionadora, exarada por autoridade ou órgão competente, em razão da prática de atos, pelo Cliente Final ou por seus dirigentes, que importem em discriminação de raça, etnia ou gênero, exploração irregular, ilegal ou criminosa do trabalho infantil ou prática relacionada ao trabalho em condições análogas à escravidão, e/ou sentença condenatória transitada em julgado, proferida em decorrência dos referidos atos, ou ainda, de outros que caracterizem assédio moral ou sexual, violência contra a mulher, ou importem crime contra o meio ambiente ou proveito criminoso da prostituição, e que não praticará referidos atos durante a vigência da operação de crédito;</w:t>
      </w:r>
      <w:r w:rsidR="0027472D">
        <w:rPr>
          <w:rFonts w:ascii="Arial" w:hAnsi="Arial" w:cs="Arial"/>
          <w:sz w:val="24"/>
          <w:szCs w:val="24"/>
        </w:rPr>
        <w:t xml:space="preserve"> </w:t>
      </w:r>
      <w:r w:rsidR="0027472D" w:rsidRPr="0027472D">
        <w:rPr>
          <w:rFonts w:ascii="Arial" w:hAnsi="Arial" w:cs="Arial"/>
          <w:b/>
          <w:i/>
          <w:color w:val="000099"/>
          <w:szCs w:val="24"/>
        </w:rPr>
        <w:t>(</w:t>
      </w:r>
      <w:r w:rsidR="007C0E27">
        <w:rPr>
          <w:rFonts w:ascii="Arial" w:hAnsi="Arial" w:cs="Arial"/>
          <w:b/>
          <w:i/>
          <w:color w:val="000099"/>
          <w:szCs w:val="24"/>
        </w:rPr>
        <w:t>Alterado</w:t>
      </w:r>
      <w:r w:rsidR="0027472D" w:rsidRPr="0027472D">
        <w:rPr>
          <w:rFonts w:ascii="Arial" w:hAnsi="Arial" w:cs="Arial"/>
          <w:b/>
          <w:i/>
          <w:color w:val="000099"/>
          <w:szCs w:val="24"/>
        </w:rPr>
        <w:t xml:space="preserve"> pela Circular SUP/ADIG Nº </w:t>
      </w:r>
      <w:r w:rsidR="0027472D">
        <w:rPr>
          <w:rFonts w:ascii="Arial" w:hAnsi="Arial" w:cs="Arial"/>
          <w:b/>
          <w:i/>
          <w:color w:val="000099"/>
          <w:szCs w:val="24"/>
        </w:rPr>
        <w:t>28</w:t>
      </w:r>
      <w:r w:rsidR="0027472D" w:rsidRPr="0027472D">
        <w:rPr>
          <w:rFonts w:ascii="Arial" w:hAnsi="Arial" w:cs="Arial"/>
          <w:b/>
          <w:i/>
          <w:color w:val="000099"/>
          <w:szCs w:val="24"/>
        </w:rPr>
        <w:t>/202</w:t>
      </w:r>
      <w:r w:rsidR="0027472D">
        <w:rPr>
          <w:rFonts w:ascii="Arial" w:hAnsi="Arial" w:cs="Arial"/>
          <w:b/>
          <w:i/>
          <w:color w:val="000099"/>
          <w:szCs w:val="24"/>
        </w:rPr>
        <w:t>4</w:t>
      </w:r>
      <w:r w:rsidR="0027472D" w:rsidRPr="0027472D">
        <w:rPr>
          <w:rFonts w:ascii="Arial" w:hAnsi="Arial" w:cs="Arial"/>
          <w:b/>
          <w:i/>
          <w:color w:val="000099"/>
          <w:szCs w:val="24"/>
        </w:rPr>
        <w:t xml:space="preserve">-BNDES, de </w:t>
      </w:r>
      <w:r w:rsidR="0027472D">
        <w:rPr>
          <w:rFonts w:ascii="Arial" w:hAnsi="Arial" w:cs="Arial"/>
          <w:b/>
          <w:i/>
          <w:color w:val="000099"/>
          <w:szCs w:val="24"/>
        </w:rPr>
        <w:t>22</w:t>
      </w:r>
      <w:r w:rsidR="0027472D" w:rsidRPr="0027472D">
        <w:rPr>
          <w:rFonts w:ascii="Arial" w:hAnsi="Arial" w:cs="Arial"/>
          <w:b/>
          <w:i/>
          <w:color w:val="000099"/>
          <w:szCs w:val="24"/>
        </w:rPr>
        <w:t>.0</w:t>
      </w:r>
      <w:r w:rsidR="0027472D">
        <w:rPr>
          <w:rFonts w:ascii="Arial" w:hAnsi="Arial" w:cs="Arial"/>
          <w:b/>
          <w:i/>
          <w:color w:val="000099"/>
          <w:szCs w:val="24"/>
        </w:rPr>
        <w:t>5</w:t>
      </w:r>
      <w:r w:rsidR="0027472D" w:rsidRPr="0027472D">
        <w:rPr>
          <w:rFonts w:ascii="Arial" w:hAnsi="Arial" w:cs="Arial"/>
          <w:b/>
          <w:i/>
          <w:color w:val="000099"/>
          <w:szCs w:val="24"/>
        </w:rPr>
        <w:t>.202</w:t>
      </w:r>
      <w:r w:rsidR="0027472D">
        <w:rPr>
          <w:rFonts w:ascii="Arial" w:hAnsi="Arial" w:cs="Arial"/>
          <w:b/>
          <w:i/>
          <w:color w:val="000099"/>
          <w:szCs w:val="24"/>
        </w:rPr>
        <w:t>4</w:t>
      </w:r>
      <w:r w:rsidR="0027472D" w:rsidRPr="0027472D">
        <w:rPr>
          <w:rFonts w:ascii="Arial" w:hAnsi="Arial" w:cs="Arial"/>
          <w:b/>
          <w:i/>
          <w:color w:val="000099"/>
          <w:szCs w:val="24"/>
        </w:rPr>
        <w:t>)</w:t>
      </w:r>
    </w:p>
    <w:p w14:paraId="59174BAD" w14:textId="77777777" w:rsidR="00F3251B" w:rsidRDefault="00F3251B" w:rsidP="008C1CEE">
      <w:pPr>
        <w:keepNext/>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que autoriza a divulgação externa da íntegra do contrato, independentemente de seu registro público em cartório;</w:t>
      </w:r>
    </w:p>
    <w:p w14:paraId="6DBF047C" w14:textId="77777777" w:rsidR="00F3251B" w:rsidRDefault="00F3251B" w:rsidP="008C1CEE">
      <w:pPr>
        <w:keepNext/>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ter ciência de que o Sistema BNDES prestará ao Tribunal de Contas da União (TCU), ao Ministério Público Federal (MPF), à Controladoria-Geral da União (CGU) e, quando os recursos do financiamento forem originários do Fundo de Amparo ao Trabalhador – FAT, também, ao Conselho Deliberativo do Fundo de Amparo ao Trabalhador (CODEFAT) e ao Ministério a ele vinculado, ou outro órgão público que o suceder, as informações que sejam requisitadas por estes, com a transferência do dever de sigilo;</w:t>
      </w:r>
    </w:p>
    <w:p w14:paraId="541C04AD" w14:textId="77777777" w:rsidR="00F3251B" w:rsidRDefault="00F3251B" w:rsidP="008C1CEE">
      <w:pPr>
        <w:keepNext/>
        <w:numPr>
          <w:ilvl w:val="0"/>
          <w:numId w:val="2"/>
        </w:numPr>
        <w:tabs>
          <w:tab w:val="left" w:pos="851"/>
        </w:tabs>
        <w:spacing w:before="180"/>
        <w:ind w:left="851" w:hanging="851"/>
        <w:jc w:val="both"/>
        <w:rPr>
          <w:rFonts w:ascii="Arial" w:hAnsi="Arial" w:cs="Arial"/>
          <w:sz w:val="24"/>
          <w:szCs w:val="24"/>
        </w:rPr>
      </w:pPr>
      <w:r w:rsidRPr="00B82233">
        <w:rPr>
          <w:rFonts w:ascii="Arial" w:hAnsi="Arial" w:cs="Arial"/>
          <w:sz w:val="24"/>
          <w:szCs w:val="24"/>
        </w:rPr>
        <w:t>inexistir inadimplemento com a União, seus órgãos e entidades das Administrações direta e indireta;</w:t>
      </w:r>
    </w:p>
    <w:p w14:paraId="234D9B94" w14:textId="138BBCED" w:rsidR="00D540F1" w:rsidRPr="00D540F1" w:rsidRDefault="00D540F1" w:rsidP="008C1CEE">
      <w:pPr>
        <w:keepNext/>
        <w:numPr>
          <w:ilvl w:val="0"/>
          <w:numId w:val="2"/>
        </w:numPr>
        <w:tabs>
          <w:tab w:val="left" w:pos="851"/>
        </w:tabs>
        <w:spacing w:before="180"/>
        <w:ind w:left="851" w:hanging="851"/>
        <w:jc w:val="both"/>
        <w:rPr>
          <w:rFonts w:ascii="Arial" w:hAnsi="Arial" w:cs="Arial"/>
          <w:sz w:val="24"/>
          <w:szCs w:val="24"/>
        </w:rPr>
      </w:pPr>
      <w:r w:rsidRPr="00B82233">
        <w:rPr>
          <w:rFonts w:ascii="Arial" w:hAnsi="Arial" w:cs="Arial"/>
          <w:sz w:val="24"/>
          <w:szCs w:val="24"/>
        </w:rPr>
        <w:t>não ter sido notificada de qualquer sanção restritiva de direito, nos termos dos incisos I, II, IV e V do art. 20, do Decreto nº 6.514</w:t>
      </w:r>
      <w:r w:rsidRPr="00D540F1">
        <w:rPr>
          <w:rFonts w:ascii="Arial" w:hAnsi="Arial" w:cs="Arial"/>
          <w:sz w:val="24"/>
          <w:szCs w:val="24"/>
        </w:rPr>
        <w:t>;</w:t>
      </w:r>
    </w:p>
    <w:p w14:paraId="01F525CA" w14:textId="58E73A83" w:rsidR="00D540F1" w:rsidRDefault="00D540F1" w:rsidP="008C1CEE">
      <w:pPr>
        <w:keepNext/>
        <w:numPr>
          <w:ilvl w:val="0"/>
          <w:numId w:val="2"/>
        </w:numPr>
        <w:tabs>
          <w:tab w:val="left" w:pos="851"/>
        </w:tabs>
        <w:spacing w:before="180"/>
        <w:ind w:left="851" w:hanging="851"/>
        <w:jc w:val="both"/>
        <w:rPr>
          <w:rFonts w:ascii="Arial" w:hAnsi="Arial" w:cs="Arial"/>
          <w:sz w:val="24"/>
          <w:szCs w:val="24"/>
        </w:rPr>
      </w:pPr>
      <w:r w:rsidRPr="00B82233">
        <w:rPr>
          <w:rFonts w:ascii="Arial" w:hAnsi="Arial" w:cs="Arial"/>
          <w:b/>
          <w:sz w:val="24"/>
          <w:szCs w:val="24"/>
        </w:rPr>
        <w:t>em se tratando de apoio à atividade agropecuária ou florestal realizada em imóvel rural</w:t>
      </w:r>
      <w:r w:rsidRPr="00B82233">
        <w:rPr>
          <w:rFonts w:ascii="Arial" w:hAnsi="Arial" w:cs="Arial"/>
          <w:sz w:val="24"/>
          <w:szCs w:val="24"/>
        </w:rPr>
        <w:t>: não estar descumprindo embargo de atividade nos termos do art. 11, I</w:t>
      </w:r>
      <w:r w:rsidR="00023143">
        <w:rPr>
          <w:rFonts w:ascii="Arial" w:hAnsi="Arial" w:cs="Arial"/>
          <w:sz w:val="24"/>
          <w:szCs w:val="24"/>
        </w:rPr>
        <w:t>,</w:t>
      </w:r>
      <w:r w:rsidRPr="00B82233">
        <w:rPr>
          <w:rFonts w:ascii="Arial" w:hAnsi="Arial" w:cs="Arial"/>
          <w:sz w:val="24"/>
          <w:szCs w:val="24"/>
        </w:rPr>
        <w:t xml:space="preserve"> do Decreto nº 6.321, de 21 de dezembro de 2007, c/c os art. 16, §1º e §2º</w:t>
      </w:r>
      <w:r w:rsidR="00023143">
        <w:rPr>
          <w:rFonts w:ascii="Arial" w:hAnsi="Arial" w:cs="Arial"/>
          <w:sz w:val="24"/>
          <w:szCs w:val="24"/>
        </w:rPr>
        <w:t>,</w:t>
      </w:r>
      <w:r w:rsidRPr="00B82233">
        <w:rPr>
          <w:rFonts w:ascii="Arial" w:hAnsi="Arial" w:cs="Arial"/>
          <w:sz w:val="24"/>
          <w:szCs w:val="24"/>
        </w:rPr>
        <w:t xml:space="preserve"> e art. 17 do Decreto nº 6.514, de 22 de julho de 2008</w:t>
      </w:r>
      <w:r w:rsidRPr="00D540F1">
        <w:rPr>
          <w:rFonts w:ascii="Arial" w:hAnsi="Arial" w:cs="Arial"/>
          <w:sz w:val="24"/>
          <w:szCs w:val="24"/>
        </w:rPr>
        <w:t>;</w:t>
      </w:r>
    </w:p>
    <w:p w14:paraId="7E7879AA" w14:textId="0C65CA14" w:rsidR="00412491" w:rsidRPr="00B82233" w:rsidRDefault="00412491" w:rsidP="008C1CEE">
      <w:pPr>
        <w:keepNext/>
        <w:numPr>
          <w:ilvl w:val="0"/>
          <w:numId w:val="2"/>
        </w:numPr>
        <w:tabs>
          <w:tab w:val="left" w:pos="851"/>
        </w:tabs>
        <w:spacing w:before="180"/>
        <w:ind w:left="851" w:hanging="851"/>
        <w:jc w:val="both"/>
        <w:rPr>
          <w:rFonts w:ascii="Arial" w:hAnsi="Arial" w:cs="Arial"/>
          <w:sz w:val="24"/>
          <w:szCs w:val="24"/>
        </w:rPr>
      </w:pPr>
      <w:r w:rsidRPr="00B82233">
        <w:rPr>
          <w:rFonts w:ascii="Arial" w:hAnsi="Arial" w:cs="Arial"/>
          <w:b/>
          <w:sz w:val="24"/>
          <w:szCs w:val="24"/>
        </w:rPr>
        <w:t>em se tratando de serviço ou atividade industrial ou comercial</w:t>
      </w:r>
      <w:r w:rsidRPr="00653F58">
        <w:rPr>
          <w:rFonts w:ascii="Arial" w:hAnsi="Arial" w:cs="Arial"/>
          <w:sz w:val="24"/>
          <w:szCs w:val="24"/>
        </w:rPr>
        <w:t>:</w:t>
      </w:r>
      <w:r w:rsidR="00653F58" w:rsidRPr="00653F58">
        <w:rPr>
          <w:rFonts w:ascii="Arial" w:hAnsi="Arial" w:cs="Arial"/>
          <w:sz w:val="24"/>
          <w:szCs w:val="24"/>
        </w:rPr>
        <w:t xml:space="preserve"> </w:t>
      </w:r>
      <w:r w:rsidR="00653F58" w:rsidRPr="00B82233">
        <w:rPr>
          <w:rFonts w:ascii="Arial" w:hAnsi="Arial" w:cs="Arial"/>
          <w:sz w:val="24"/>
          <w:szCs w:val="24"/>
        </w:rPr>
        <w:t>não estar descumprindo o art. 11, II do Decreto nº 6.321, de 21 de dezembro de 2007 c/c art. 54 caput e parágrafo único do Decreto nº 6.514, de 22 de julho de 2008</w:t>
      </w:r>
      <w:r w:rsidR="00653F58" w:rsidRPr="00653F58">
        <w:rPr>
          <w:rFonts w:ascii="Arial" w:hAnsi="Arial" w:cs="Arial"/>
          <w:sz w:val="24"/>
          <w:szCs w:val="24"/>
        </w:rPr>
        <w:t>;</w:t>
      </w:r>
    </w:p>
    <w:p w14:paraId="1B4073D6" w14:textId="77777777" w:rsidR="00F3251B" w:rsidRPr="009E0819" w:rsidRDefault="00F3251B" w:rsidP="008C1CEE">
      <w:pPr>
        <w:keepNext/>
        <w:numPr>
          <w:ilvl w:val="0"/>
          <w:numId w:val="2"/>
        </w:numPr>
        <w:tabs>
          <w:tab w:val="left" w:pos="851"/>
        </w:tabs>
        <w:spacing w:before="180"/>
        <w:ind w:left="851" w:hanging="851"/>
        <w:jc w:val="both"/>
        <w:rPr>
          <w:rFonts w:ascii="Arial" w:hAnsi="Arial" w:cs="Arial"/>
          <w:sz w:val="24"/>
          <w:szCs w:val="24"/>
        </w:rPr>
      </w:pPr>
      <w:r w:rsidRPr="009E0819">
        <w:rPr>
          <w:rFonts w:ascii="Arial" w:hAnsi="Arial" w:cs="Arial"/>
          <w:sz w:val="24"/>
          <w:szCs w:val="24"/>
        </w:rPr>
        <w:t xml:space="preserve">que inexiste, contra si e seus dirigentes, decisão condenatória administrativa ou judicial, apta a produzir efeitos, que importe proibição de contratar com instituições financeiras oficiais ou com a Administração Pública, ou de receber benefícios ou incentivos creditícios, subsídios, subvenções, doações ou empréstimos de órgãos ou entidades públicas e de instituições financeiras públicas ou controladas pelo poder público, em razão da prática de atos ilícitos definidos em lei. </w:t>
      </w:r>
    </w:p>
    <w:p w14:paraId="7225581C" w14:textId="78E5C5F3" w:rsidR="00F3251B" w:rsidRDefault="00F3251B" w:rsidP="008C1CEE">
      <w:pPr>
        <w:numPr>
          <w:ilvl w:val="0"/>
          <w:numId w:val="2"/>
        </w:numPr>
        <w:tabs>
          <w:tab w:val="left" w:pos="851"/>
        </w:tabs>
        <w:spacing w:before="180"/>
        <w:ind w:left="851" w:hanging="851"/>
        <w:jc w:val="both"/>
        <w:rPr>
          <w:rFonts w:ascii="Arial" w:hAnsi="Arial" w:cs="Arial"/>
          <w:sz w:val="24"/>
          <w:szCs w:val="24"/>
        </w:rPr>
      </w:pPr>
      <w:r>
        <w:rPr>
          <w:rFonts w:ascii="Arial" w:hAnsi="Arial" w:cs="Arial"/>
          <w:sz w:val="24"/>
          <w:szCs w:val="24"/>
        </w:rPr>
        <w:t>q</w:t>
      </w:r>
      <w:r w:rsidRPr="009E0819">
        <w:rPr>
          <w:rFonts w:ascii="Arial" w:hAnsi="Arial" w:cs="Arial"/>
          <w:sz w:val="24"/>
          <w:szCs w:val="24"/>
        </w:rPr>
        <w:t>uando se trata</w:t>
      </w:r>
      <w:r w:rsidRPr="00311A3B">
        <w:rPr>
          <w:rFonts w:ascii="Arial" w:hAnsi="Arial" w:cs="Arial"/>
          <w:sz w:val="24"/>
          <w:szCs w:val="24"/>
        </w:rPr>
        <w:t>r</w:t>
      </w:r>
      <w:r w:rsidRPr="009E0819">
        <w:rPr>
          <w:rFonts w:ascii="Arial" w:hAnsi="Arial" w:cs="Arial"/>
          <w:sz w:val="24"/>
          <w:szCs w:val="24"/>
        </w:rPr>
        <w:t xml:space="preserve"> de frigorífico, que inexiste, contra si, decisão administrativa final sancionadora, exarada por autoridade ou órgão competente, e/ou sentença condenatória transitada em julgado, em razão do descumprimento da legislação trabalhista referente à proteção à segurança, saúde, higiene e conforto nos locais de trabalho, especialmente das Normas Regulamentadoras do Ministério do Trabalho e Emprego, inclusive no tocante aos intervalos ergonômicos a serem observado</w:t>
      </w:r>
      <w:r w:rsidR="00C87170">
        <w:rPr>
          <w:rFonts w:ascii="Arial" w:hAnsi="Arial" w:cs="Arial"/>
          <w:sz w:val="24"/>
          <w:szCs w:val="24"/>
        </w:rPr>
        <w:t>s durante a jornada de trabalho;</w:t>
      </w:r>
      <w:r w:rsidRPr="009E0819">
        <w:rPr>
          <w:rFonts w:ascii="Arial" w:hAnsi="Arial" w:cs="Arial"/>
          <w:sz w:val="24"/>
          <w:szCs w:val="24"/>
        </w:rPr>
        <w:t xml:space="preserve"> </w:t>
      </w:r>
    </w:p>
    <w:p w14:paraId="19CB1274" w14:textId="453E2AAB" w:rsidR="00C87170" w:rsidRDefault="00C87170" w:rsidP="008C1CEE">
      <w:pPr>
        <w:numPr>
          <w:ilvl w:val="0"/>
          <w:numId w:val="2"/>
        </w:numPr>
        <w:tabs>
          <w:tab w:val="left" w:pos="851"/>
        </w:tabs>
        <w:spacing w:before="180"/>
        <w:ind w:left="851" w:hanging="851"/>
        <w:jc w:val="both"/>
        <w:rPr>
          <w:rFonts w:ascii="Arial" w:hAnsi="Arial" w:cs="Arial"/>
          <w:sz w:val="24"/>
          <w:szCs w:val="24"/>
        </w:rPr>
      </w:pPr>
      <w:r w:rsidRPr="00B82233">
        <w:rPr>
          <w:rFonts w:ascii="Arial" w:hAnsi="Arial" w:cs="Arial"/>
          <w:sz w:val="24"/>
          <w:szCs w:val="24"/>
        </w:rPr>
        <w:lastRenderedPageBreak/>
        <w:t>que não possui inscrição impeditiva de contratação no Cadastro Nacional de Condenações Cíveis por Ato de Improbidade Administrativa (CNIA), no Cadastro Nacional de Empresas Punidas (CNEP) e no Cadastro Nacional de Empresas Inidôneas e Suspensas (CEIS</w:t>
      </w:r>
      <w:r>
        <w:rPr>
          <w:rFonts w:ascii="Arial" w:hAnsi="Arial" w:cs="Arial"/>
          <w:sz w:val="24"/>
          <w:szCs w:val="24"/>
        </w:rPr>
        <w:t>);</w:t>
      </w:r>
    </w:p>
    <w:p w14:paraId="15D1E713" w14:textId="1C2AE022" w:rsidR="00876DAB" w:rsidRDefault="00876DAB" w:rsidP="008C1CEE">
      <w:pPr>
        <w:numPr>
          <w:ilvl w:val="0"/>
          <w:numId w:val="2"/>
        </w:numPr>
        <w:spacing w:before="180"/>
        <w:ind w:left="851" w:hanging="851"/>
        <w:jc w:val="both"/>
        <w:rPr>
          <w:rFonts w:ascii="Arial" w:hAnsi="Arial" w:cs="Arial"/>
          <w:sz w:val="24"/>
          <w:szCs w:val="24"/>
        </w:rPr>
      </w:pPr>
      <w:r w:rsidRPr="00B82233">
        <w:rPr>
          <w:rFonts w:ascii="Arial" w:hAnsi="Arial" w:cs="Arial"/>
          <w:sz w:val="24"/>
          <w:szCs w:val="24"/>
        </w:rPr>
        <w:t>que não possui inscrição no CEIS em razão de sanção de Suspensão, aplicada pelo Sistema BNDES</w:t>
      </w:r>
      <w:r w:rsidRPr="00876DAB">
        <w:rPr>
          <w:rFonts w:ascii="Arial" w:hAnsi="Arial" w:cs="Arial"/>
          <w:sz w:val="24"/>
          <w:szCs w:val="24"/>
        </w:rPr>
        <w:t>;</w:t>
      </w:r>
    </w:p>
    <w:p w14:paraId="212AE0E7" w14:textId="37A8AFBC" w:rsidR="00FC694C" w:rsidRPr="00967CA8" w:rsidRDefault="00FC694C" w:rsidP="008C1CEE">
      <w:pPr>
        <w:numPr>
          <w:ilvl w:val="0"/>
          <w:numId w:val="2"/>
        </w:numPr>
        <w:tabs>
          <w:tab w:val="left" w:pos="851"/>
        </w:tabs>
        <w:spacing w:before="180"/>
        <w:ind w:left="851" w:hanging="851"/>
        <w:jc w:val="both"/>
        <w:rPr>
          <w:rFonts w:ascii="Arial" w:hAnsi="Arial" w:cs="Arial"/>
          <w:strike/>
          <w:sz w:val="24"/>
          <w:szCs w:val="24"/>
        </w:rPr>
      </w:pPr>
      <w:r w:rsidRPr="00967CA8">
        <w:rPr>
          <w:rFonts w:ascii="Arial" w:hAnsi="Arial" w:cs="Arial"/>
          <w:b/>
          <w:strike/>
          <w:sz w:val="24"/>
          <w:szCs w:val="24"/>
        </w:rPr>
        <w:t xml:space="preserve">no caso de operação de crédito no âmbito da Linha Crédito Materiais Industrializados ao amparo do Produto BNDES Finame celebrada por </w:t>
      </w:r>
      <w:r w:rsidR="004C5446" w:rsidRPr="00967CA8">
        <w:rPr>
          <w:rFonts w:ascii="Arial" w:hAnsi="Arial" w:cs="Arial"/>
          <w:b/>
          <w:strike/>
          <w:sz w:val="24"/>
          <w:szCs w:val="24"/>
        </w:rPr>
        <w:t>Cliente</w:t>
      </w:r>
      <w:r w:rsidRPr="00967CA8">
        <w:rPr>
          <w:rFonts w:ascii="Arial" w:hAnsi="Arial" w:cs="Arial"/>
          <w:b/>
          <w:strike/>
          <w:sz w:val="24"/>
          <w:szCs w:val="24"/>
        </w:rPr>
        <w:t xml:space="preserve"> cuja maioria do capital votante ou o controle pertença, direta ou indiretamente, por pessoa física ou jurídica domiciliada ou sediada no exterior, e a atividade econômica objeto do financiamento não esteja especificada no Decreto nº 2.233, de 23.05.1997</w:t>
      </w:r>
      <w:r w:rsidRPr="00967CA8">
        <w:rPr>
          <w:rFonts w:ascii="Arial" w:hAnsi="Arial" w:cs="Arial"/>
          <w:strike/>
          <w:sz w:val="24"/>
          <w:szCs w:val="24"/>
        </w:rPr>
        <w:t>: que os itens objeto deste financiamento não foram incluídos em seus ativos fixos</w:t>
      </w:r>
      <w:r w:rsidR="00A217BA" w:rsidRPr="00967CA8">
        <w:rPr>
          <w:rFonts w:ascii="Arial" w:hAnsi="Arial" w:cs="Arial"/>
          <w:strike/>
          <w:sz w:val="24"/>
          <w:szCs w:val="24"/>
        </w:rPr>
        <w:t>;</w:t>
      </w:r>
      <w:r w:rsidR="00967CA8" w:rsidRPr="00967CA8">
        <w:rPr>
          <w:rFonts w:ascii="Arial" w:hAnsi="Arial" w:cs="Arial"/>
          <w:sz w:val="24"/>
          <w:szCs w:val="24"/>
        </w:rPr>
        <w:t xml:space="preserve"> </w:t>
      </w:r>
      <w:r w:rsidR="00967CA8" w:rsidRPr="000A3BE3">
        <w:rPr>
          <w:rFonts w:ascii="Arial" w:hAnsi="Arial" w:cs="Arial"/>
          <w:b/>
          <w:bCs/>
          <w:i/>
          <w:color w:val="000099"/>
        </w:rPr>
        <w:t>(</w:t>
      </w:r>
      <w:r w:rsidR="00967CA8">
        <w:rPr>
          <w:rFonts w:ascii="Arial" w:hAnsi="Arial" w:cs="Arial"/>
          <w:b/>
          <w:bCs/>
          <w:i/>
          <w:color w:val="000099"/>
        </w:rPr>
        <w:t>Excluído</w:t>
      </w:r>
      <w:r w:rsidR="00967CA8" w:rsidRPr="000A3BE3">
        <w:rPr>
          <w:rFonts w:ascii="Arial" w:hAnsi="Arial" w:cs="Arial"/>
          <w:b/>
          <w:bCs/>
          <w:i/>
          <w:color w:val="000099"/>
        </w:rPr>
        <w:t xml:space="preserve"> pela Circular SUP/ADIG </w:t>
      </w:r>
      <w:r w:rsidR="00967CA8" w:rsidRPr="000A3BE3">
        <w:rPr>
          <w:rFonts w:ascii="Arial" w:hAnsi="Arial" w:cs="Arial"/>
          <w:b/>
          <w:i/>
          <w:color w:val="000099"/>
        </w:rPr>
        <w:t xml:space="preserve">Nº </w:t>
      </w:r>
      <w:r w:rsidR="00967CA8">
        <w:rPr>
          <w:rFonts w:ascii="Arial" w:hAnsi="Arial" w:cs="Arial"/>
          <w:b/>
          <w:i/>
          <w:color w:val="000099"/>
        </w:rPr>
        <w:t>22</w:t>
      </w:r>
      <w:r w:rsidR="00967CA8" w:rsidRPr="000A3BE3">
        <w:rPr>
          <w:rFonts w:ascii="Arial" w:hAnsi="Arial" w:cs="Arial"/>
          <w:b/>
          <w:i/>
          <w:color w:val="000099"/>
        </w:rPr>
        <w:t>/202</w:t>
      </w:r>
      <w:r w:rsidR="00967CA8">
        <w:rPr>
          <w:rFonts w:ascii="Arial" w:hAnsi="Arial" w:cs="Arial"/>
          <w:b/>
          <w:i/>
          <w:color w:val="000099"/>
        </w:rPr>
        <w:t>3</w:t>
      </w:r>
      <w:r w:rsidR="00967CA8" w:rsidRPr="000A3BE3">
        <w:rPr>
          <w:rFonts w:ascii="Arial" w:hAnsi="Arial" w:cs="Arial"/>
          <w:b/>
          <w:i/>
          <w:color w:val="000099"/>
        </w:rPr>
        <w:t xml:space="preserve">-BNDES, de </w:t>
      </w:r>
      <w:r w:rsidR="00967CA8">
        <w:rPr>
          <w:rFonts w:ascii="Arial" w:hAnsi="Arial" w:cs="Arial"/>
          <w:b/>
          <w:i/>
          <w:color w:val="000099"/>
        </w:rPr>
        <w:t>29</w:t>
      </w:r>
      <w:r w:rsidR="00967CA8" w:rsidRPr="000A3BE3">
        <w:rPr>
          <w:rFonts w:ascii="Arial" w:hAnsi="Arial" w:cs="Arial"/>
          <w:b/>
          <w:i/>
          <w:color w:val="000099"/>
        </w:rPr>
        <w:t>.</w:t>
      </w:r>
      <w:r w:rsidR="00967CA8">
        <w:rPr>
          <w:rFonts w:ascii="Arial" w:hAnsi="Arial" w:cs="Arial"/>
          <w:b/>
          <w:i/>
          <w:color w:val="000099"/>
        </w:rPr>
        <w:t>06</w:t>
      </w:r>
      <w:r w:rsidR="00967CA8" w:rsidRPr="000A3BE3">
        <w:rPr>
          <w:rFonts w:ascii="Arial" w:hAnsi="Arial" w:cs="Arial"/>
          <w:b/>
          <w:i/>
          <w:color w:val="000099"/>
        </w:rPr>
        <w:t>.202</w:t>
      </w:r>
      <w:r w:rsidR="00967CA8">
        <w:rPr>
          <w:rFonts w:ascii="Arial" w:hAnsi="Arial" w:cs="Arial"/>
          <w:b/>
          <w:i/>
          <w:color w:val="000099"/>
        </w:rPr>
        <w:t>3</w:t>
      </w:r>
      <w:r w:rsidR="00967CA8" w:rsidRPr="000A3BE3">
        <w:rPr>
          <w:rFonts w:ascii="Arial" w:hAnsi="Arial" w:cs="Arial"/>
          <w:b/>
          <w:i/>
          <w:color w:val="000099"/>
        </w:rPr>
        <w:t>)</w:t>
      </w:r>
    </w:p>
    <w:p w14:paraId="3CEA3E6D" w14:textId="569574A0" w:rsidR="00F3251B" w:rsidRDefault="00B020B0" w:rsidP="008C1CEE">
      <w:pPr>
        <w:numPr>
          <w:ilvl w:val="0"/>
          <w:numId w:val="2"/>
        </w:numPr>
        <w:tabs>
          <w:tab w:val="left" w:pos="851"/>
        </w:tabs>
        <w:spacing w:before="180"/>
        <w:ind w:left="851" w:hanging="851"/>
        <w:jc w:val="both"/>
        <w:rPr>
          <w:rFonts w:cs="Arial"/>
          <w:sz w:val="24"/>
          <w:szCs w:val="24"/>
        </w:rPr>
      </w:pPr>
      <w:r>
        <w:rPr>
          <w:rFonts w:ascii="Arial" w:hAnsi="Arial" w:cs="Arial"/>
          <w:b/>
          <w:sz w:val="24"/>
          <w:szCs w:val="24"/>
        </w:rPr>
        <w:t xml:space="preserve">no caso de operação de crédito no âmbito da Linha Crédito Pequenas </w:t>
      </w:r>
      <w:r w:rsidR="000A4887">
        <w:rPr>
          <w:rFonts w:ascii="Arial" w:hAnsi="Arial" w:cs="Arial"/>
          <w:b/>
          <w:sz w:val="24"/>
          <w:szCs w:val="24"/>
        </w:rPr>
        <w:t xml:space="preserve">e Médias </w:t>
      </w:r>
      <w:r>
        <w:rPr>
          <w:rFonts w:ascii="Arial" w:hAnsi="Arial" w:cs="Arial"/>
          <w:b/>
          <w:sz w:val="24"/>
          <w:szCs w:val="24"/>
        </w:rPr>
        <w:t>Empresas</w:t>
      </w:r>
      <w:r w:rsidR="008A2911">
        <w:rPr>
          <w:rFonts w:ascii="Arial" w:hAnsi="Arial" w:cs="Arial"/>
          <w:b/>
          <w:sz w:val="24"/>
          <w:szCs w:val="24"/>
        </w:rPr>
        <w:t xml:space="preserve"> </w:t>
      </w:r>
      <w:r w:rsidR="008A2911" w:rsidRPr="008A2911">
        <w:rPr>
          <w:rFonts w:ascii="Arial" w:hAnsi="Arial" w:cs="Arial"/>
          <w:b/>
          <w:sz w:val="24"/>
          <w:szCs w:val="24"/>
        </w:rPr>
        <w:t>e da Linha Emergencial</w:t>
      </w:r>
      <w:r>
        <w:rPr>
          <w:rFonts w:ascii="Arial" w:hAnsi="Arial" w:cs="Arial"/>
          <w:b/>
          <w:sz w:val="24"/>
          <w:szCs w:val="24"/>
        </w:rPr>
        <w:t xml:space="preserve"> ao amparo do Produto BNDES Automático</w:t>
      </w:r>
      <w:r>
        <w:rPr>
          <w:rFonts w:ascii="Arial" w:hAnsi="Arial" w:cs="Arial"/>
          <w:sz w:val="24"/>
          <w:szCs w:val="24"/>
        </w:rPr>
        <w:t>: que não utilizará os recursos liberados em atividades, empreendimentos e aquisição de itens vedados, conforme disposto na Circular BNDES que regulamenta o Produto BNDES Automático;</w:t>
      </w:r>
      <w:r w:rsidR="000A4887">
        <w:rPr>
          <w:rFonts w:ascii="Arial" w:hAnsi="Arial" w:cs="Arial"/>
          <w:sz w:val="24"/>
          <w:szCs w:val="24"/>
        </w:rPr>
        <w:t xml:space="preserve"> </w:t>
      </w:r>
      <w:r w:rsidR="000A4887" w:rsidRPr="000A3BE3">
        <w:rPr>
          <w:rFonts w:ascii="Arial" w:hAnsi="Arial" w:cs="Arial"/>
          <w:b/>
          <w:bCs/>
          <w:i/>
          <w:color w:val="000099"/>
        </w:rPr>
        <w:t>(</w:t>
      </w:r>
      <w:r w:rsidR="000A4887">
        <w:rPr>
          <w:rFonts w:ascii="Arial" w:hAnsi="Arial" w:cs="Arial"/>
          <w:b/>
          <w:bCs/>
          <w:i/>
          <w:color w:val="000099"/>
        </w:rPr>
        <w:t>Alterado</w:t>
      </w:r>
      <w:r w:rsidR="000A4887" w:rsidRPr="000A3BE3">
        <w:rPr>
          <w:rFonts w:ascii="Arial" w:hAnsi="Arial" w:cs="Arial"/>
          <w:b/>
          <w:bCs/>
          <w:i/>
          <w:color w:val="000099"/>
        </w:rPr>
        <w:t xml:space="preserve"> pela</w:t>
      </w:r>
      <w:r w:rsidR="008A2911">
        <w:rPr>
          <w:rFonts w:ascii="Arial" w:hAnsi="Arial" w:cs="Arial"/>
          <w:b/>
          <w:bCs/>
          <w:i/>
          <w:color w:val="000099"/>
        </w:rPr>
        <w:t>s</w:t>
      </w:r>
      <w:r w:rsidR="000A4887" w:rsidRPr="000A3BE3">
        <w:rPr>
          <w:rFonts w:ascii="Arial" w:hAnsi="Arial" w:cs="Arial"/>
          <w:b/>
          <w:bCs/>
          <w:i/>
          <w:color w:val="000099"/>
        </w:rPr>
        <w:t xml:space="preserve"> Circular</w:t>
      </w:r>
      <w:r w:rsidR="008A2911">
        <w:rPr>
          <w:rFonts w:ascii="Arial" w:hAnsi="Arial" w:cs="Arial"/>
          <w:b/>
          <w:bCs/>
          <w:i/>
          <w:color w:val="000099"/>
        </w:rPr>
        <w:t>es</w:t>
      </w:r>
      <w:r w:rsidR="000A4887" w:rsidRPr="000A3BE3">
        <w:rPr>
          <w:rFonts w:ascii="Arial" w:hAnsi="Arial" w:cs="Arial"/>
          <w:b/>
          <w:bCs/>
          <w:i/>
          <w:color w:val="000099"/>
        </w:rPr>
        <w:t xml:space="preserve"> SUP/ADIG </w:t>
      </w:r>
      <w:r w:rsidR="000A4887" w:rsidRPr="000A3BE3">
        <w:rPr>
          <w:rFonts w:ascii="Arial" w:hAnsi="Arial" w:cs="Arial"/>
          <w:b/>
          <w:i/>
          <w:color w:val="000099"/>
        </w:rPr>
        <w:t xml:space="preserve">Nº </w:t>
      </w:r>
      <w:r w:rsidR="000A4887">
        <w:rPr>
          <w:rFonts w:ascii="Arial" w:hAnsi="Arial" w:cs="Arial"/>
          <w:b/>
          <w:i/>
          <w:color w:val="000099"/>
        </w:rPr>
        <w:t>01</w:t>
      </w:r>
      <w:r w:rsidR="000A4887" w:rsidRPr="000A3BE3">
        <w:rPr>
          <w:rFonts w:ascii="Arial" w:hAnsi="Arial" w:cs="Arial"/>
          <w:b/>
          <w:i/>
          <w:color w:val="000099"/>
        </w:rPr>
        <w:t>/202</w:t>
      </w:r>
      <w:r w:rsidR="000A4887">
        <w:rPr>
          <w:rFonts w:ascii="Arial" w:hAnsi="Arial" w:cs="Arial"/>
          <w:b/>
          <w:i/>
          <w:color w:val="000099"/>
        </w:rPr>
        <w:t>4</w:t>
      </w:r>
      <w:r w:rsidR="000A4887" w:rsidRPr="000A3BE3">
        <w:rPr>
          <w:rFonts w:ascii="Arial" w:hAnsi="Arial" w:cs="Arial"/>
          <w:b/>
          <w:i/>
          <w:color w:val="000099"/>
        </w:rPr>
        <w:t xml:space="preserve">-BNDES, de </w:t>
      </w:r>
      <w:r w:rsidR="000A4887">
        <w:rPr>
          <w:rFonts w:ascii="Arial" w:hAnsi="Arial" w:cs="Arial"/>
          <w:b/>
          <w:i/>
          <w:color w:val="000099"/>
        </w:rPr>
        <w:t>12</w:t>
      </w:r>
      <w:r w:rsidR="000A4887" w:rsidRPr="000A3BE3">
        <w:rPr>
          <w:rFonts w:ascii="Arial" w:hAnsi="Arial" w:cs="Arial"/>
          <w:b/>
          <w:i/>
          <w:color w:val="000099"/>
        </w:rPr>
        <w:t>.</w:t>
      </w:r>
      <w:r w:rsidR="000A4887">
        <w:rPr>
          <w:rFonts w:ascii="Arial" w:hAnsi="Arial" w:cs="Arial"/>
          <w:b/>
          <w:i/>
          <w:color w:val="000099"/>
        </w:rPr>
        <w:t>01</w:t>
      </w:r>
      <w:r w:rsidR="000A4887" w:rsidRPr="000A3BE3">
        <w:rPr>
          <w:rFonts w:ascii="Arial" w:hAnsi="Arial" w:cs="Arial"/>
          <w:b/>
          <w:i/>
          <w:color w:val="000099"/>
        </w:rPr>
        <w:t>.202</w:t>
      </w:r>
      <w:r w:rsidR="000A4887">
        <w:rPr>
          <w:rFonts w:ascii="Arial" w:hAnsi="Arial" w:cs="Arial"/>
          <w:b/>
          <w:i/>
          <w:color w:val="000099"/>
        </w:rPr>
        <w:t>4</w:t>
      </w:r>
      <w:r w:rsidR="008A2911">
        <w:rPr>
          <w:rFonts w:ascii="Arial" w:hAnsi="Arial" w:cs="Arial"/>
          <w:b/>
          <w:i/>
          <w:color w:val="000099"/>
        </w:rPr>
        <w:t xml:space="preserve"> e </w:t>
      </w:r>
      <w:r w:rsidR="008A2911" w:rsidRPr="000A3BE3">
        <w:rPr>
          <w:rFonts w:ascii="Arial" w:hAnsi="Arial" w:cs="Arial"/>
          <w:b/>
          <w:bCs/>
          <w:i/>
          <w:color w:val="000099"/>
        </w:rPr>
        <w:t xml:space="preserve">SUP/ADIG </w:t>
      </w:r>
      <w:r w:rsidR="008A2911" w:rsidRPr="000A3BE3">
        <w:rPr>
          <w:rFonts w:ascii="Arial" w:hAnsi="Arial" w:cs="Arial"/>
          <w:b/>
          <w:i/>
          <w:color w:val="000099"/>
        </w:rPr>
        <w:t xml:space="preserve">Nº </w:t>
      </w:r>
      <w:r w:rsidR="008A2911">
        <w:rPr>
          <w:rFonts w:ascii="Arial" w:hAnsi="Arial" w:cs="Arial"/>
          <w:b/>
          <w:i/>
          <w:color w:val="000099"/>
        </w:rPr>
        <w:t>73</w:t>
      </w:r>
      <w:r w:rsidR="008A2911" w:rsidRPr="000A3BE3">
        <w:rPr>
          <w:rFonts w:ascii="Arial" w:hAnsi="Arial" w:cs="Arial"/>
          <w:b/>
          <w:i/>
          <w:color w:val="000099"/>
        </w:rPr>
        <w:t>/202</w:t>
      </w:r>
      <w:r w:rsidR="008A2911">
        <w:rPr>
          <w:rFonts w:ascii="Arial" w:hAnsi="Arial" w:cs="Arial"/>
          <w:b/>
          <w:i/>
          <w:color w:val="000099"/>
        </w:rPr>
        <w:t>4</w:t>
      </w:r>
      <w:r w:rsidR="008A2911" w:rsidRPr="000A3BE3">
        <w:rPr>
          <w:rFonts w:ascii="Arial" w:hAnsi="Arial" w:cs="Arial"/>
          <w:b/>
          <w:i/>
          <w:color w:val="000099"/>
        </w:rPr>
        <w:t xml:space="preserve">-BNDES, de </w:t>
      </w:r>
      <w:r w:rsidR="008A2911">
        <w:rPr>
          <w:rFonts w:ascii="Arial" w:hAnsi="Arial" w:cs="Arial"/>
          <w:b/>
          <w:i/>
          <w:color w:val="000099"/>
        </w:rPr>
        <w:t>14</w:t>
      </w:r>
      <w:r w:rsidR="008A2911" w:rsidRPr="000A3BE3">
        <w:rPr>
          <w:rFonts w:ascii="Arial" w:hAnsi="Arial" w:cs="Arial"/>
          <w:b/>
          <w:i/>
          <w:color w:val="000099"/>
        </w:rPr>
        <w:t>.</w:t>
      </w:r>
      <w:r w:rsidR="008A2911">
        <w:rPr>
          <w:rFonts w:ascii="Arial" w:hAnsi="Arial" w:cs="Arial"/>
          <w:b/>
          <w:i/>
          <w:color w:val="000099"/>
        </w:rPr>
        <w:t>08</w:t>
      </w:r>
      <w:r w:rsidR="008A2911" w:rsidRPr="000A3BE3">
        <w:rPr>
          <w:rFonts w:ascii="Arial" w:hAnsi="Arial" w:cs="Arial"/>
          <w:b/>
          <w:i/>
          <w:color w:val="000099"/>
        </w:rPr>
        <w:t>.202</w:t>
      </w:r>
      <w:r w:rsidR="008A2911">
        <w:rPr>
          <w:rFonts w:ascii="Arial" w:hAnsi="Arial" w:cs="Arial"/>
          <w:b/>
          <w:i/>
          <w:color w:val="000099"/>
        </w:rPr>
        <w:t>4</w:t>
      </w:r>
      <w:r w:rsidR="000A4887" w:rsidRPr="000A3BE3">
        <w:rPr>
          <w:rFonts w:ascii="Arial" w:hAnsi="Arial" w:cs="Arial"/>
          <w:b/>
          <w:i/>
          <w:color w:val="000099"/>
        </w:rPr>
        <w:t>)</w:t>
      </w:r>
    </w:p>
    <w:p w14:paraId="3E8AB5AE" w14:textId="41664C3F" w:rsidR="000E6E67" w:rsidRDefault="000E6E67" w:rsidP="008C1CEE">
      <w:pPr>
        <w:numPr>
          <w:ilvl w:val="0"/>
          <w:numId w:val="2"/>
        </w:numPr>
        <w:tabs>
          <w:tab w:val="left" w:pos="851"/>
        </w:tabs>
        <w:spacing w:before="180"/>
        <w:ind w:left="851" w:hanging="851"/>
        <w:jc w:val="both"/>
        <w:rPr>
          <w:rFonts w:cs="Arial"/>
          <w:sz w:val="24"/>
          <w:szCs w:val="24"/>
        </w:rPr>
      </w:pPr>
      <w:r>
        <w:rPr>
          <w:rFonts w:ascii="Arial" w:hAnsi="Arial" w:cs="Arial"/>
          <w:b/>
          <w:sz w:val="24"/>
          <w:szCs w:val="24"/>
        </w:rPr>
        <w:t>quando se tratar de operação de crédito rural com recursos controlados</w:t>
      </w:r>
      <w:r>
        <w:rPr>
          <w:rFonts w:ascii="Arial" w:hAnsi="Arial" w:cs="Arial"/>
          <w:sz w:val="24"/>
          <w:szCs w:val="24"/>
        </w:rPr>
        <w:t>: (i) ter tomado ciência da existência de outros financiamentos “em ser” com recursos controlados, no mesmo Ano Agrícola, em qualquer instituição financeira integrante do Sistema Nacional de Crédito Rural (SNCR), com a informação dos valores já financiados, se for o caso; (ii) ter recebido da Instituição Financeira Credenciada os esclarecimentos necessários sobre as suas operações de crédito rural constantes no Sistema de Operações de Crédito Rural e do Proagro (SICOR), inclusive as contratadas por meio de cooperativas de produção agropecuária para atendimento a cooperado e de custeio das atividades exploradas sob regime de integração, os conceitos de recursos controlados do crédito rural e de Ano Agrícola, os limites do crédito rural e a situação do mutuário em relação a eles, e as ocorrências que configuram irregularidade na aplicação de recursos do crédito rural; e (iii) ter ciência de que qualquer declaração falsa prestada à Instituição Financeira Credenciada implica substituição, desde a data da contratação, da taxa de juros pactuada por taxa de mercado, sem prejuízo das demais sanções e penalidades previstas na legislação, inclusive no que se refere à obrigação da Instituição Financeira Credenciada de comunicar indícios de crime de ação penal pública ou fraude fiscal, na forma do MCR 2-7;</w:t>
      </w:r>
    </w:p>
    <w:p w14:paraId="41E48B57" w14:textId="77876162" w:rsidR="00DC0F00" w:rsidRPr="00B82233" w:rsidRDefault="00DC0F00" w:rsidP="008C1CEE">
      <w:pPr>
        <w:numPr>
          <w:ilvl w:val="0"/>
          <w:numId w:val="2"/>
        </w:numPr>
        <w:tabs>
          <w:tab w:val="left" w:pos="851"/>
        </w:tabs>
        <w:spacing w:before="180"/>
        <w:ind w:left="851" w:hanging="851"/>
        <w:jc w:val="both"/>
        <w:rPr>
          <w:rFonts w:cs="Arial"/>
          <w:sz w:val="24"/>
          <w:szCs w:val="24"/>
        </w:rPr>
      </w:pPr>
      <w:r w:rsidRPr="000A3BE3">
        <w:rPr>
          <w:rFonts w:ascii="Arial" w:hAnsi="Arial"/>
          <w:b/>
          <w:strike/>
          <w:sz w:val="22"/>
        </w:rPr>
        <w:t>em se tratando de apoio às atividades de plantio, renovação e custeio da cultura de cana-de-açúcar (atividades enquadradas no código 0113-0/00 do CNAE IBGE)</w:t>
      </w:r>
      <w:r w:rsidRPr="000A3BE3">
        <w:rPr>
          <w:rFonts w:ascii="Arial" w:hAnsi="Arial"/>
          <w:strike/>
          <w:sz w:val="22"/>
        </w:rPr>
        <w:t>: que o plantio, a renovação e o custeio da cultura de cana-de-açúcar, bem como a utilização de máquinas ou equipamentos financiados para estes fins, conforme o caso, ocorrem e ocorrerão integralmente em áreas permitidas pelo Decreto nº 6.961, de 17.09.2009 e pelas Resoluções do Conselho Monetário Nacional nº 3.813 e 3.814, ambas de 26.11.2009</w:t>
      </w:r>
      <w:r w:rsidR="000A3BE3" w:rsidRPr="000A3BE3">
        <w:rPr>
          <w:b/>
          <w:szCs w:val="24"/>
        </w:rPr>
        <w:t xml:space="preserve"> </w:t>
      </w:r>
      <w:r w:rsidR="000A3BE3">
        <w:rPr>
          <w:b/>
          <w:szCs w:val="24"/>
        </w:rPr>
        <w:br/>
      </w:r>
      <w:r w:rsidR="000A3BE3" w:rsidRPr="000A3BE3">
        <w:rPr>
          <w:rFonts w:ascii="Arial" w:hAnsi="Arial" w:cs="Arial"/>
          <w:b/>
          <w:sz w:val="22"/>
          <w:szCs w:val="22"/>
        </w:rPr>
        <w:t>em se tratando de apoio às atividades de plantio, renovação e custeio da cultura de cana-de-açúcar (atividades enquadradas no código 0113-0/00 do CNAE IBGE)</w:t>
      </w:r>
      <w:r w:rsidR="000A3BE3" w:rsidRPr="000A3BE3">
        <w:rPr>
          <w:rFonts w:ascii="Arial" w:hAnsi="Arial" w:cs="Arial"/>
          <w:sz w:val="22"/>
          <w:szCs w:val="22"/>
        </w:rPr>
        <w:t xml:space="preserve">: que o plantio, a renovação e o custeio da cultura de cana-de-açúcar, bem como a utilização de </w:t>
      </w:r>
      <w:r w:rsidR="000A3BE3" w:rsidRPr="000A3BE3">
        <w:rPr>
          <w:rFonts w:ascii="Arial" w:hAnsi="Arial" w:cs="Arial"/>
          <w:sz w:val="22"/>
          <w:szCs w:val="22"/>
        </w:rPr>
        <w:lastRenderedPageBreak/>
        <w:t>máquinas ou equipamentos financiados para estes fins, conforme o caso, ocorrem e ocorrerão integralmente em áreas permitidas pelo Decreto nº 6.961, de 17.09.2009, e pela Resolução do Conselho Monetário Nacional nº 3.814, de 26.11.2009</w:t>
      </w:r>
      <w:r>
        <w:rPr>
          <w:rFonts w:ascii="Arial" w:hAnsi="Arial"/>
          <w:sz w:val="22"/>
        </w:rPr>
        <w:t>;</w:t>
      </w:r>
      <w:r w:rsidR="000A3BE3">
        <w:rPr>
          <w:rFonts w:ascii="Arial" w:hAnsi="Arial"/>
          <w:sz w:val="22"/>
        </w:rPr>
        <w:t xml:space="preserve"> </w:t>
      </w:r>
      <w:r w:rsidR="000A3BE3" w:rsidRPr="000A3BE3">
        <w:rPr>
          <w:rFonts w:ascii="Arial" w:hAnsi="Arial" w:cs="Arial"/>
          <w:b/>
          <w:bCs/>
          <w:i/>
          <w:color w:val="000099"/>
        </w:rPr>
        <w:t xml:space="preserve">(Alterado pela Circular SUP/ADIG </w:t>
      </w:r>
      <w:r w:rsidR="000A3BE3" w:rsidRPr="000A3BE3">
        <w:rPr>
          <w:rFonts w:ascii="Arial" w:hAnsi="Arial" w:cs="Arial"/>
          <w:b/>
          <w:i/>
          <w:color w:val="000099"/>
        </w:rPr>
        <w:t>Nº 64/2022-BNDES, de 13.12.2022)</w:t>
      </w:r>
    </w:p>
    <w:p w14:paraId="4F8CF734" w14:textId="74230834" w:rsidR="00DC0F00" w:rsidRDefault="004A54C5" w:rsidP="008C1CEE">
      <w:pPr>
        <w:numPr>
          <w:ilvl w:val="0"/>
          <w:numId w:val="2"/>
        </w:numPr>
        <w:tabs>
          <w:tab w:val="left" w:pos="851"/>
        </w:tabs>
        <w:spacing w:before="180"/>
        <w:ind w:left="851" w:hanging="851"/>
        <w:jc w:val="both"/>
        <w:rPr>
          <w:rFonts w:cs="Arial"/>
          <w:sz w:val="24"/>
          <w:szCs w:val="24"/>
        </w:rPr>
      </w:pPr>
      <w:r w:rsidRPr="000A3BE3">
        <w:rPr>
          <w:rFonts w:ascii="Arial" w:hAnsi="Arial"/>
          <w:b/>
          <w:strike/>
          <w:sz w:val="22"/>
        </w:rPr>
        <w:t>em se tratando de apoio às atividades de industrialização de cana-de-açúcar para produção de etanol e demais biocombustíveis derivados da cana-de-açúcar e açúcar, exceto açúcar mascavo (atividades enquadradas  códigos 10.71-6/00, 10.72/4/01 e 19.31-4/00 da CNAE do IBGE)</w:t>
      </w:r>
      <w:r w:rsidRPr="000A3BE3">
        <w:rPr>
          <w:rFonts w:ascii="Arial" w:hAnsi="Arial"/>
          <w:strike/>
          <w:sz w:val="22"/>
        </w:rPr>
        <w:t>: que a instalação ou a expansão da usina, bem como a produção da cana-de-açúcar a ser moída na usina a ser beneficiada pelo financiamento, ocorrem e ocorrerão integralmente em áreas permitidas pelo Decreto nº 6.961, de 17.09.2009 e pelas Resoluções do Conselho Monetário Nacional nº 3.813 e 3.814, ambas de 26.11.2009</w:t>
      </w:r>
      <w:r w:rsidR="000A3BE3">
        <w:rPr>
          <w:rFonts w:ascii="Arial" w:hAnsi="Arial"/>
          <w:strike/>
          <w:sz w:val="22"/>
        </w:rPr>
        <w:br/>
      </w:r>
      <w:r w:rsidR="000A3BE3" w:rsidRPr="000A3BE3">
        <w:rPr>
          <w:rFonts w:ascii="Arial" w:hAnsi="Arial" w:cs="Arial"/>
          <w:b/>
          <w:sz w:val="22"/>
          <w:szCs w:val="22"/>
        </w:rPr>
        <w:t>em se tratando de apoio às atividades de industrialização de cana-de-açúcar para produção de etanol e demais biocombustíveis derivados da cana-de-açúcar e açúcar, exceto açúcar mascavo (atividades enquadradas  códigos 1071-6/00, 1072/4/01 e 1931-4/00 da CNAE do IBGE)</w:t>
      </w:r>
      <w:r w:rsidR="000A3BE3" w:rsidRPr="000A3BE3">
        <w:rPr>
          <w:rFonts w:ascii="Arial" w:hAnsi="Arial" w:cs="Arial"/>
          <w:sz w:val="22"/>
          <w:szCs w:val="22"/>
        </w:rPr>
        <w:t>: que a instalação ou a expansão da usina, bem como a produção da cana-de-açúcar a ser moída na usina financiada, assim como a utilização de máquinas ou equipamentos financiados para estes fins, ocorrem e ocorrerão integralmente em áreas permitidas pelo Decreto nº 6.961, de 17.09.2009, e pela Resolução do Conselho Monetário Nacional 3.814, de 26.11.2009</w:t>
      </w:r>
      <w:r>
        <w:rPr>
          <w:rFonts w:ascii="Arial" w:hAnsi="Arial"/>
          <w:sz w:val="22"/>
        </w:rPr>
        <w:t>;</w:t>
      </w:r>
      <w:r w:rsidR="000A3BE3">
        <w:rPr>
          <w:rFonts w:ascii="Arial" w:hAnsi="Arial"/>
          <w:sz w:val="22"/>
        </w:rPr>
        <w:t xml:space="preserve"> </w:t>
      </w:r>
      <w:r w:rsidR="000A3BE3" w:rsidRPr="000A3BE3">
        <w:rPr>
          <w:rFonts w:ascii="Arial" w:hAnsi="Arial" w:cs="Arial"/>
          <w:b/>
          <w:bCs/>
          <w:i/>
          <w:color w:val="000099"/>
        </w:rPr>
        <w:t xml:space="preserve">(Alterado pela Circular SUP/ADIG </w:t>
      </w:r>
      <w:r w:rsidR="000A3BE3" w:rsidRPr="000A3BE3">
        <w:rPr>
          <w:rFonts w:ascii="Arial" w:hAnsi="Arial" w:cs="Arial"/>
          <w:b/>
          <w:i/>
          <w:color w:val="000099"/>
        </w:rPr>
        <w:t>Nº 64/2022-BNDES, de 13.12.2022)</w:t>
      </w:r>
    </w:p>
    <w:p w14:paraId="3F257518" w14:textId="233C95BB" w:rsidR="002B6D4D" w:rsidRPr="00B82233" w:rsidRDefault="002B6D4D" w:rsidP="008C1CEE">
      <w:pPr>
        <w:numPr>
          <w:ilvl w:val="0"/>
          <w:numId w:val="2"/>
        </w:numPr>
        <w:tabs>
          <w:tab w:val="left" w:pos="851"/>
        </w:tabs>
        <w:spacing w:before="180"/>
        <w:ind w:left="851" w:hanging="851"/>
        <w:jc w:val="both"/>
        <w:rPr>
          <w:rFonts w:cs="Arial"/>
          <w:sz w:val="24"/>
          <w:szCs w:val="24"/>
        </w:rPr>
      </w:pPr>
      <w:r>
        <w:rPr>
          <w:rFonts w:ascii="Arial" w:hAnsi="Arial" w:cs="Arial"/>
          <w:b/>
          <w:sz w:val="24"/>
          <w:szCs w:val="24"/>
          <w:u w:val="single"/>
        </w:rPr>
        <w:t xml:space="preserve">DO </w:t>
      </w:r>
      <w:r w:rsidRPr="002B6D4D">
        <w:rPr>
          <w:rFonts w:ascii="Arial" w:hAnsi="Arial" w:cs="Arial"/>
          <w:b/>
          <w:sz w:val="24"/>
          <w:szCs w:val="24"/>
          <w:u w:val="single"/>
        </w:rPr>
        <w:t>COMPARTILHAMENTO DE DADOS PESSOAIS COM O SISTEMA BNDES</w:t>
      </w:r>
      <w:r>
        <w:rPr>
          <w:rFonts w:ascii="Arial" w:hAnsi="Arial" w:cs="Arial"/>
          <w:sz w:val="24"/>
          <w:szCs w:val="24"/>
        </w:rPr>
        <w:t>:</w:t>
      </w:r>
    </w:p>
    <w:p w14:paraId="4D379452" w14:textId="55B665B8" w:rsidR="00F3251B" w:rsidRDefault="00E35F52" w:rsidP="008C1CEE">
      <w:pPr>
        <w:pStyle w:val="Corpodetexto"/>
        <w:spacing w:before="120" w:after="120"/>
        <w:ind w:left="851"/>
        <w:rPr>
          <w:rFonts w:cs="Arial"/>
          <w:color w:val="000000"/>
          <w:sz w:val="24"/>
          <w:szCs w:val="24"/>
        </w:rPr>
      </w:pPr>
      <w:r>
        <w:rPr>
          <w:rFonts w:cs="Arial"/>
          <w:color w:val="000000"/>
          <w:sz w:val="24"/>
          <w:szCs w:val="24"/>
        </w:rPr>
        <w:t xml:space="preserve">Fica </w:t>
      </w:r>
      <w:r w:rsidR="0080070D">
        <w:rPr>
          <w:rFonts w:cs="Arial"/>
          <w:color w:val="000000"/>
          <w:sz w:val="24"/>
          <w:szCs w:val="24"/>
        </w:rPr>
        <w:t>o</w:t>
      </w:r>
      <w:r>
        <w:rPr>
          <w:rFonts w:cs="Arial"/>
          <w:color w:val="000000"/>
          <w:sz w:val="24"/>
          <w:szCs w:val="24"/>
        </w:rPr>
        <w:t xml:space="preserve"> </w:t>
      </w:r>
      <w:r w:rsidR="004C5446">
        <w:rPr>
          <w:rFonts w:cs="Arial"/>
          <w:color w:val="000000"/>
          <w:sz w:val="24"/>
          <w:szCs w:val="24"/>
        </w:rPr>
        <w:t>Cliente</w:t>
      </w:r>
      <w:r w:rsidR="00F3251B" w:rsidRPr="009E0819">
        <w:rPr>
          <w:rFonts w:cs="Arial"/>
          <w:color w:val="000000"/>
          <w:sz w:val="24"/>
          <w:szCs w:val="24"/>
        </w:rPr>
        <w:t xml:space="preserve"> ciente do compartilhamento de dados pessoais entre a INSTITUIÇÃO FINANCEIRA CREDENCIADA e o Sistema BNDES e da necessidade de acessar o Aviso de Privacidade - Operações Indiretas Automáticas, disponível no site </w:t>
      </w:r>
      <w:r w:rsidR="00F3251B" w:rsidRPr="009E0819">
        <w:rPr>
          <w:rFonts w:cs="Arial"/>
          <w:b/>
          <w:color w:val="000000"/>
          <w:sz w:val="24"/>
          <w:szCs w:val="24"/>
        </w:rPr>
        <w:t>https://www.bndes.gov.br/arquivos/lgpd/aviso-privacidade-operacoes-indiretas.pdf</w:t>
      </w:r>
      <w:r w:rsidR="00F3251B" w:rsidRPr="009E0819">
        <w:rPr>
          <w:rFonts w:cs="Arial"/>
          <w:color w:val="000000"/>
          <w:sz w:val="24"/>
          <w:szCs w:val="24"/>
        </w:rPr>
        <w:t>, para obter informações acerca dos tratamentos de tais dados realizados pelo Sistema BNDES</w:t>
      </w:r>
      <w:r w:rsidR="00131DB2">
        <w:rPr>
          <w:rFonts w:cs="Arial"/>
          <w:color w:val="000000"/>
          <w:sz w:val="24"/>
          <w:szCs w:val="24"/>
        </w:rPr>
        <w:t>;</w:t>
      </w:r>
    </w:p>
    <w:p w14:paraId="5C4BC23D" w14:textId="1CEFBB4E" w:rsidR="00131DB2" w:rsidRPr="00C16DBC" w:rsidRDefault="00131DB2" w:rsidP="008C1CEE">
      <w:pPr>
        <w:numPr>
          <w:ilvl w:val="0"/>
          <w:numId w:val="2"/>
        </w:numPr>
        <w:tabs>
          <w:tab w:val="left" w:pos="851"/>
        </w:tabs>
        <w:spacing w:before="180"/>
        <w:ind w:left="851" w:hanging="851"/>
        <w:jc w:val="both"/>
        <w:rPr>
          <w:rFonts w:ascii="Arial" w:hAnsi="Arial"/>
          <w:bCs/>
          <w:sz w:val="22"/>
        </w:rPr>
      </w:pPr>
      <w:r w:rsidRPr="00131DB2">
        <w:rPr>
          <w:rFonts w:ascii="Arial" w:hAnsi="Arial"/>
          <w:bCs/>
          <w:sz w:val="22"/>
        </w:rPr>
        <w:t>estar ciente de que, identificado desmatamento realizado no imóvel após a contratação de operação de crédito rural, sem Autorização para Supressão de Vegetação (ASV), Projeto de Recuperação de Área Degradada (PRAD), aprovado pelo órgão ambiental competente, Termo de Ajustamento de Conduta (TAC) ou outro documento congênere considerado apto a comprovar a regularidade da situação, será suspensa a liberação de recursos até a apresentação de tais documentos, e, caso não sejam apresentados em até 12 (doze) meses, a contar da data de notificação do Sistema BNDES, a Instituição Financeira Credenciada deverá liquidar antecipadamente a operação perante o Sistema BNDES.</w:t>
      </w:r>
      <w:r>
        <w:rPr>
          <w:rFonts w:ascii="Arial" w:hAnsi="Arial"/>
          <w:bCs/>
          <w:sz w:val="22"/>
        </w:rPr>
        <w:t xml:space="preserve"> </w:t>
      </w:r>
      <w:r>
        <w:rPr>
          <w:rFonts w:ascii="Arial" w:hAnsi="Arial" w:cs="Arial"/>
          <w:b/>
          <w:i/>
          <w:color w:val="000099"/>
          <w:szCs w:val="24"/>
        </w:rPr>
        <w:t xml:space="preserve">(Incluído pela Circular </w:t>
      </w:r>
      <w:r w:rsidRPr="006B6932">
        <w:rPr>
          <w:rFonts w:ascii="Arial" w:hAnsi="Arial" w:cs="Arial"/>
          <w:b/>
          <w:i/>
          <w:color w:val="000099"/>
          <w:szCs w:val="24"/>
        </w:rPr>
        <w:t xml:space="preserve">SUP/ADIG Nº </w:t>
      </w:r>
      <w:r>
        <w:rPr>
          <w:rFonts w:ascii="Arial" w:hAnsi="Arial" w:cs="Arial"/>
          <w:b/>
          <w:i/>
          <w:color w:val="000099"/>
          <w:szCs w:val="24"/>
        </w:rPr>
        <w:t>57</w:t>
      </w:r>
      <w:r w:rsidRPr="006B6932">
        <w:rPr>
          <w:rFonts w:ascii="Arial" w:hAnsi="Arial" w:cs="Arial"/>
          <w:b/>
          <w:i/>
          <w:color w:val="000099"/>
          <w:szCs w:val="24"/>
        </w:rPr>
        <w:t>/2022-BNDES</w:t>
      </w:r>
      <w:r>
        <w:rPr>
          <w:rFonts w:ascii="Arial" w:hAnsi="Arial" w:cs="Arial"/>
          <w:b/>
          <w:i/>
          <w:color w:val="000099"/>
          <w:szCs w:val="24"/>
        </w:rPr>
        <w:t>, de 11.11.2022)</w:t>
      </w:r>
    </w:p>
    <w:p w14:paraId="6251F994" w14:textId="154BEDD5" w:rsidR="00C16DBC" w:rsidRPr="000961E3" w:rsidRDefault="00C16DBC" w:rsidP="008C1CEE">
      <w:pPr>
        <w:numPr>
          <w:ilvl w:val="0"/>
          <w:numId w:val="2"/>
        </w:numPr>
        <w:tabs>
          <w:tab w:val="left" w:pos="851"/>
        </w:tabs>
        <w:spacing w:before="180"/>
        <w:ind w:left="851" w:hanging="851"/>
        <w:jc w:val="both"/>
        <w:rPr>
          <w:rFonts w:ascii="Arial" w:hAnsi="Arial"/>
          <w:bCs/>
          <w:sz w:val="22"/>
        </w:rPr>
      </w:pPr>
      <w:r w:rsidRPr="00C16DBC">
        <w:rPr>
          <w:rFonts w:ascii="Arial" w:hAnsi="Arial"/>
          <w:bCs/>
          <w:sz w:val="22"/>
        </w:rPr>
        <w:t>estar ciente de que, caso identificado que o Cliente Final possua embargo vigente constante da lista de embargos do Cadastro de Autuações Ambientais e Embargos do Ibama após a contratação da operação, sem PRAD, TC, TAC ou outro documento congênere protocolado para sua regularização, em observância aos requisitos estabelecidos em lei ou ato normativo próprio da autoridade competente, será suspensa a liberação de recursos até o protocolo de tais documentos; e, caso não sejam apresentados em até 12 (doze) meses, a contar da data de notificação do Sistema BNDES, a Instituição Financeira Credenciada deverá liquidar antecipadamente a operação perante o Sistema BNDES. Ademais, estar ciente de que, se, no decorrer do financiamento, for identificado descumprimento na execução de qualquer medida de regularização pactuada pelo Cliente Final junto às autoridades competentes, a Instituição Financeira Credenciada deverá liquidar antecipadamente a operação perante o Sistema BNDES em até 30 (trinta) dias, a contar da data de verificação do descumprimento por ela apurado</w:t>
      </w:r>
      <w:r>
        <w:rPr>
          <w:rFonts w:ascii="Arial" w:hAnsi="Arial"/>
          <w:bCs/>
          <w:sz w:val="22"/>
        </w:rPr>
        <w:t xml:space="preserve">. </w:t>
      </w:r>
      <w:r>
        <w:rPr>
          <w:rFonts w:ascii="Arial" w:hAnsi="Arial" w:cs="Arial"/>
          <w:b/>
          <w:i/>
          <w:color w:val="000099"/>
          <w:szCs w:val="24"/>
        </w:rPr>
        <w:t xml:space="preserve">(Incluído pela Circular </w:t>
      </w:r>
      <w:r w:rsidRPr="006B6932">
        <w:rPr>
          <w:rFonts w:ascii="Arial" w:hAnsi="Arial" w:cs="Arial"/>
          <w:b/>
          <w:i/>
          <w:color w:val="000099"/>
          <w:szCs w:val="24"/>
        </w:rPr>
        <w:t xml:space="preserve">SUP/ADIG Nº </w:t>
      </w:r>
      <w:r>
        <w:rPr>
          <w:rFonts w:ascii="Arial" w:hAnsi="Arial" w:cs="Arial"/>
          <w:b/>
          <w:i/>
          <w:color w:val="000099"/>
          <w:szCs w:val="24"/>
        </w:rPr>
        <w:t>76</w:t>
      </w:r>
      <w:r w:rsidRPr="006B6932">
        <w:rPr>
          <w:rFonts w:ascii="Arial" w:hAnsi="Arial" w:cs="Arial"/>
          <w:b/>
          <w:i/>
          <w:color w:val="000099"/>
          <w:szCs w:val="24"/>
        </w:rPr>
        <w:t>/202</w:t>
      </w:r>
      <w:r>
        <w:rPr>
          <w:rFonts w:ascii="Arial" w:hAnsi="Arial" w:cs="Arial"/>
          <w:b/>
          <w:i/>
          <w:color w:val="000099"/>
          <w:szCs w:val="24"/>
        </w:rPr>
        <w:t>3</w:t>
      </w:r>
      <w:r w:rsidRPr="006B6932">
        <w:rPr>
          <w:rFonts w:ascii="Arial" w:hAnsi="Arial" w:cs="Arial"/>
          <w:b/>
          <w:i/>
          <w:color w:val="000099"/>
          <w:szCs w:val="24"/>
        </w:rPr>
        <w:t>-BNDES</w:t>
      </w:r>
      <w:r>
        <w:rPr>
          <w:rFonts w:ascii="Arial" w:hAnsi="Arial" w:cs="Arial"/>
          <w:b/>
          <w:i/>
          <w:color w:val="000099"/>
          <w:szCs w:val="24"/>
        </w:rPr>
        <w:t>, de 11.12.2023)</w:t>
      </w:r>
    </w:p>
    <w:p w14:paraId="793BEE7A" w14:textId="33F15848" w:rsidR="000961E3" w:rsidRPr="00131DB2" w:rsidRDefault="000961E3" w:rsidP="008C1CEE">
      <w:pPr>
        <w:numPr>
          <w:ilvl w:val="0"/>
          <w:numId w:val="2"/>
        </w:numPr>
        <w:tabs>
          <w:tab w:val="left" w:pos="851"/>
        </w:tabs>
        <w:spacing w:before="180"/>
        <w:ind w:left="851" w:hanging="851"/>
        <w:jc w:val="both"/>
        <w:rPr>
          <w:rFonts w:ascii="Arial" w:hAnsi="Arial"/>
          <w:bCs/>
          <w:sz w:val="22"/>
        </w:rPr>
      </w:pPr>
      <w:r w:rsidRPr="000961E3">
        <w:rPr>
          <w:rFonts w:ascii="Arial" w:hAnsi="Arial"/>
          <w:b/>
          <w:sz w:val="22"/>
        </w:rPr>
        <w:lastRenderedPageBreak/>
        <w:t>em se tratando de operações com valor superior a R$ 30.000.000,00 (trinta milhões de reais):</w:t>
      </w:r>
      <w:r w:rsidRPr="000961E3">
        <w:rPr>
          <w:rFonts w:ascii="Arial" w:hAnsi="Arial"/>
          <w:bCs/>
          <w:sz w:val="22"/>
        </w:rPr>
        <w:t xml:space="preserve"> possuir políticas de integridade e conformidade estabelecidas e devidamente estabelecidas, nos termos do § 14º do artigo 130 da Lei nº 14.791, de 29.12.2023.</w:t>
      </w:r>
      <w:r>
        <w:rPr>
          <w:rFonts w:ascii="Arial" w:hAnsi="Arial"/>
          <w:bCs/>
          <w:sz w:val="22"/>
        </w:rPr>
        <w:t xml:space="preserve"> </w:t>
      </w:r>
      <w:r>
        <w:rPr>
          <w:rFonts w:ascii="Arial" w:hAnsi="Arial" w:cs="Arial"/>
          <w:b/>
          <w:i/>
          <w:color w:val="000099"/>
          <w:szCs w:val="24"/>
        </w:rPr>
        <w:t xml:space="preserve">(Incluído pela Circular </w:t>
      </w:r>
      <w:r w:rsidRPr="006B6932">
        <w:rPr>
          <w:rFonts w:ascii="Arial" w:hAnsi="Arial" w:cs="Arial"/>
          <w:b/>
          <w:i/>
          <w:color w:val="000099"/>
          <w:szCs w:val="24"/>
        </w:rPr>
        <w:t xml:space="preserve">SUP/ADIG Nº </w:t>
      </w:r>
      <w:r>
        <w:rPr>
          <w:rFonts w:ascii="Arial" w:hAnsi="Arial" w:cs="Arial"/>
          <w:b/>
          <w:i/>
          <w:color w:val="000099"/>
          <w:szCs w:val="24"/>
        </w:rPr>
        <w:t>11</w:t>
      </w:r>
      <w:r w:rsidRPr="006B6932">
        <w:rPr>
          <w:rFonts w:ascii="Arial" w:hAnsi="Arial" w:cs="Arial"/>
          <w:b/>
          <w:i/>
          <w:color w:val="000099"/>
          <w:szCs w:val="24"/>
        </w:rPr>
        <w:t>/202</w:t>
      </w:r>
      <w:r>
        <w:rPr>
          <w:rFonts w:ascii="Arial" w:hAnsi="Arial" w:cs="Arial"/>
          <w:b/>
          <w:i/>
          <w:color w:val="000099"/>
          <w:szCs w:val="24"/>
        </w:rPr>
        <w:t>4</w:t>
      </w:r>
      <w:r w:rsidRPr="006B6932">
        <w:rPr>
          <w:rFonts w:ascii="Arial" w:hAnsi="Arial" w:cs="Arial"/>
          <w:b/>
          <w:i/>
          <w:color w:val="000099"/>
          <w:szCs w:val="24"/>
        </w:rPr>
        <w:t>-BNDES</w:t>
      </w:r>
      <w:r>
        <w:rPr>
          <w:rFonts w:ascii="Arial" w:hAnsi="Arial" w:cs="Arial"/>
          <w:b/>
          <w:i/>
          <w:color w:val="000099"/>
          <w:szCs w:val="24"/>
        </w:rPr>
        <w:t>, de 15.03.2024)</w:t>
      </w:r>
    </w:p>
    <w:p w14:paraId="41C4DB1E" w14:textId="77777777" w:rsidR="00F3251B" w:rsidRPr="009E0819" w:rsidRDefault="00F3251B" w:rsidP="00F3251B">
      <w:pPr>
        <w:pStyle w:val="Corpodetexto"/>
        <w:spacing w:before="120" w:after="120"/>
        <w:rPr>
          <w:rFonts w:cs="Arial"/>
          <w:color w:val="000000"/>
          <w:sz w:val="24"/>
          <w:szCs w:val="24"/>
        </w:rPr>
      </w:pPr>
    </w:p>
    <w:p w14:paraId="226129CB" w14:textId="59C72C81" w:rsidR="00FE10EB" w:rsidRPr="00B82233" w:rsidRDefault="00FE10EB" w:rsidP="00FE10EB">
      <w:pPr>
        <w:keepNext/>
        <w:jc w:val="both"/>
        <w:rPr>
          <w:rFonts w:ascii="Arial" w:hAnsi="Arial" w:cs="Arial"/>
          <w:sz w:val="24"/>
          <w:szCs w:val="24"/>
        </w:rPr>
      </w:pPr>
      <w:r w:rsidRPr="00B82233">
        <w:rPr>
          <w:rFonts w:ascii="Arial" w:hAnsi="Arial" w:cs="Arial"/>
          <w:sz w:val="24"/>
          <w:szCs w:val="24"/>
          <w:u w:val="single"/>
        </w:rPr>
        <w:t>OBRIGAÇÕES ESPECIAIS D</w:t>
      </w:r>
      <w:r w:rsidR="0080070D">
        <w:rPr>
          <w:rFonts w:ascii="Arial" w:hAnsi="Arial" w:cs="Arial"/>
          <w:sz w:val="24"/>
          <w:szCs w:val="24"/>
          <w:u w:val="single"/>
        </w:rPr>
        <w:t>O</w:t>
      </w:r>
      <w:r w:rsidRPr="00B82233">
        <w:rPr>
          <w:rFonts w:ascii="Arial" w:hAnsi="Arial" w:cs="Arial"/>
          <w:sz w:val="24"/>
          <w:szCs w:val="24"/>
          <w:u w:val="single"/>
        </w:rPr>
        <w:t xml:space="preserve"> </w:t>
      </w:r>
      <w:r w:rsidR="004C5446">
        <w:rPr>
          <w:rFonts w:ascii="Arial" w:hAnsi="Arial" w:cs="Arial"/>
          <w:sz w:val="24"/>
          <w:szCs w:val="24"/>
          <w:u w:val="single"/>
        </w:rPr>
        <w:t>CLIENTE</w:t>
      </w:r>
      <w:r w:rsidRPr="00B82233">
        <w:rPr>
          <w:rFonts w:ascii="Arial" w:hAnsi="Arial" w:cs="Arial"/>
          <w:sz w:val="24"/>
          <w:szCs w:val="24"/>
        </w:rPr>
        <w:t xml:space="preserve">: Obriga-se </w:t>
      </w:r>
      <w:r w:rsidR="0080070D">
        <w:rPr>
          <w:rFonts w:ascii="Arial" w:hAnsi="Arial" w:cs="Arial"/>
          <w:sz w:val="24"/>
          <w:szCs w:val="24"/>
        </w:rPr>
        <w:t>o</w:t>
      </w:r>
      <w:r w:rsidRPr="00B82233">
        <w:rPr>
          <w:rFonts w:ascii="Arial" w:hAnsi="Arial" w:cs="Arial"/>
          <w:sz w:val="24"/>
          <w:szCs w:val="24"/>
        </w:rPr>
        <w:t xml:space="preserve"> </w:t>
      </w:r>
      <w:r w:rsidR="004C5446">
        <w:rPr>
          <w:rFonts w:ascii="Arial" w:hAnsi="Arial" w:cs="Arial"/>
          <w:sz w:val="24"/>
          <w:szCs w:val="24"/>
        </w:rPr>
        <w:t>CLIENTE</w:t>
      </w:r>
      <w:r w:rsidRPr="00B82233">
        <w:rPr>
          <w:rFonts w:ascii="Arial" w:hAnsi="Arial" w:cs="Arial"/>
          <w:sz w:val="24"/>
          <w:szCs w:val="24"/>
        </w:rPr>
        <w:t xml:space="preserve"> a</w:t>
      </w:r>
      <w:r w:rsidR="003A7DB5">
        <w:rPr>
          <w:rFonts w:ascii="Arial" w:hAnsi="Arial" w:cs="Arial"/>
          <w:sz w:val="24"/>
          <w:szCs w:val="24"/>
        </w:rPr>
        <w:t>, sob pena de vencimento antecipado da operação</w:t>
      </w:r>
      <w:r w:rsidR="006173F0">
        <w:rPr>
          <w:rFonts w:ascii="Arial" w:hAnsi="Arial" w:cs="Arial"/>
          <w:sz w:val="24"/>
          <w:szCs w:val="24"/>
        </w:rPr>
        <w:t xml:space="preserve">, nos termos do </w:t>
      </w:r>
      <w:r w:rsidR="006173F0" w:rsidRPr="002E7A6E">
        <w:rPr>
          <w:rFonts w:ascii="Arial" w:hAnsi="Arial" w:cs="Arial"/>
          <w:sz w:val="24"/>
          <w:szCs w:val="24"/>
        </w:rPr>
        <w:t>Anexo V</w:t>
      </w:r>
      <w:r w:rsidR="006173F0">
        <w:rPr>
          <w:rFonts w:ascii="Arial" w:hAnsi="Arial" w:cs="Arial"/>
          <w:sz w:val="24"/>
          <w:szCs w:val="24"/>
        </w:rPr>
        <w:t xml:space="preserve"> a esta Circular</w:t>
      </w:r>
      <w:r w:rsidRPr="00B82233">
        <w:rPr>
          <w:rFonts w:ascii="Arial" w:hAnsi="Arial" w:cs="Arial"/>
          <w:sz w:val="24"/>
          <w:szCs w:val="24"/>
        </w:rPr>
        <w:t>:</w:t>
      </w:r>
    </w:p>
    <w:p w14:paraId="048D07AC" w14:textId="1C6FD65C" w:rsidR="00FE10EB" w:rsidRPr="00B82233" w:rsidRDefault="00FE10EB" w:rsidP="00C026EF">
      <w:pPr>
        <w:numPr>
          <w:ilvl w:val="0"/>
          <w:numId w:val="4"/>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 xml:space="preserve">aplicar os recursos recebidos unicamente </w:t>
      </w:r>
      <w:r w:rsidR="00232B15" w:rsidRPr="00B82233">
        <w:rPr>
          <w:rFonts w:ascii="Arial" w:hAnsi="Arial" w:cs="Arial"/>
          <w:sz w:val="24"/>
          <w:szCs w:val="24"/>
        </w:rPr>
        <w:t>na execução da FINALIDADE</w:t>
      </w:r>
      <w:r w:rsidRPr="00B82233">
        <w:rPr>
          <w:rFonts w:ascii="Arial" w:hAnsi="Arial" w:cs="Arial"/>
          <w:sz w:val="24"/>
          <w:szCs w:val="24"/>
        </w:rPr>
        <w:t xml:space="preserve"> </w:t>
      </w:r>
      <w:r w:rsidR="00EA105B" w:rsidRPr="00B82233">
        <w:rPr>
          <w:rFonts w:ascii="Arial" w:hAnsi="Arial" w:cs="Arial"/>
          <w:sz w:val="24"/>
          <w:szCs w:val="24"/>
        </w:rPr>
        <w:t xml:space="preserve">prevista no </w:t>
      </w:r>
      <w:r w:rsidR="003D041D" w:rsidRPr="00B82233">
        <w:rPr>
          <w:rFonts w:ascii="Arial" w:hAnsi="Arial" w:cs="Arial"/>
          <w:sz w:val="24"/>
          <w:szCs w:val="24"/>
        </w:rPr>
        <w:t xml:space="preserve"> </w:t>
      </w:r>
      <w:r w:rsidRPr="00B82233">
        <w:rPr>
          <w:rFonts w:ascii="Arial" w:hAnsi="Arial" w:cs="Arial"/>
          <w:sz w:val="24"/>
          <w:szCs w:val="24"/>
        </w:rPr>
        <w:t>Instrumento Contratual</w:t>
      </w:r>
      <w:r w:rsidR="003D041D" w:rsidRPr="00B82233">
        <w:rPr>
          <w:rFonts w:ascii="Arial" w:hAnsi="Arial" w:cs="Arial"/>
          <w:sz w:val="24"/>
          <w:szCs w:val="24"/>
        </w:rPr>
        <w:t xml:space="preserve">, no Quadro de Aplicação de Recursos, quando for o caso, em conformidade com a documentação encaminhada à INSTITUIÇÃO FINANCEIRA CREDENCIADA, </w:t>
      </w:r>
      <w:r w:rsidR="00232B15" w:rsidRPr="00B82233">
        <w:rPr>
          <w:rFonts w:ascii="Arial" w:hAnsi="Arial" w:cs="Arial"/>
          <w:sz w:val="24"/>
          <w:szCs w:val="24"/>
        </w:rPr>
        <w:t>nos termos homologados pelo</w:t>
      </w:r>
      <w:r w:rsidR="00396044">
        <w:rPr>
          <w:rFonts w:ascii="Arial" w:hAnsi="Arial" w:cs="Arial"/>
          <w:sz w:val="24"/>
          <w:szCs w:val="24"/>
        </w:rPr>
        <w:t xml:space="preserve"> Sistema</w:t>
      </w:r>
      <w:r w:rsidR="00232B15" w:rsidRPr="00B82233">
        <w:rPr>
          <w:rFonts w:ascii="Arial" w:hAnsi="Arial" w:cs="Arial"/>
          <w:sz w:val="24"/>
          <w:szCs w:val="24"/>
        </w:rPr>
        <w:t xml:space="preserve"> BNDES</w:t>
      </w:r>
      <w:r w:rsidR="00C50A7F" w:rsidRPr="00B82233">
        <w:rPr>
          <w:rFonts w:ascii="Arial" w:hAnsi="Arial" w:cs="Arial"/>
          <w:sz w:val="24"/>
          <w:szCs w:val="24"/>
        </w:rPr>
        <w:t>;</w:t>
      </w:r>
    </w:p>
    <w:p w14:paraId="316C0A6E" w14:textId="06E076C1" w:rsidR="00FE10EB" w:rsidRPr="00B82233" w:rsidRDefault="00FE10EB" w:rsidP="00C026EF">
      <w:pPr>
        <w:numPr>
          <w:ilvl w:val="0"/>
          <w:numId w:val="4"/>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 xml:space="preserve">aportar os recursos próprios previstos para a execução </w:t>
      </w:r>
      <w:r w:rsidR="00232B15" w:rsidRPr="00B82233">
        <w:rPr>
          <w:rFonts w:ascii="Arial" w:hAnsi="Arial" w:cs="Arial"/>
          <w:sz w:val="24"/>
          <w:szCs w:val="24"/>
        </w:rPr>
        <w:t xml:space="preserve">da FINALIDADE, nos montantes e prazos homologados pelo </w:t>
      </w:r>
      <w:r w:rsidR="00E451DA">
        <w:rPr>
          <w:rFonts w:ascii="Arial" w:hAnsi="Arial" w:cs="Arial"/>
          <w:sz w:val="24"/>
          <w:szCs w:val="24"/>
        </w:rPr>
        <w:t xml:space="preserve">Sistema </w:t>
      </w:r>
      <w:r w:rsidR="00232B15" w:rsidRPr="00B82233">
        <w:rPr>
          <w:rFonts w:ascii="Arial" w:hAnsi="Arial" w:cs="Arial"/>
          <w:sz w:val="24"/>
          <w:szCs w:val="24"/>
        </w:rPr>
        <w:t>BNDES</w:t>
      </w:r>
      <w:r w:rsidRPr="00B82233">
        <w:rPr>
          <w:rFonts w:ascii="Arial" w:hAnsi="Arial" w:cs="Arial"/>
          <w:sz w:val="24"/>
          <w:szCs w:val="24"/>
        </w:rPr>
        <w:t>, bem como, em sua totalidade, os recursos necessários à cobertura de eventuais insuficiências ou</w:t>
      </w:r>
      <w:r w:rsidR="00232B15" w:rsidRPr="00B82233">
        <w:rPr>
          <w:rFonts w:ascii="Arial" w:hAnsi="Arial" w:cs="Arial"/>
          <w:sz w:val="24"/>
          <w:szCs w:val="24"/>
        </w:rPr>
        <w:t xml:space="preserve"> acréscimos do orçamento global</w:t>
      </w:r>
      <w:r w:rsidRPr="00B82233">
        <w:rPr>
          <w:rFonts w:ascii="Arial" w:hAnsi="Arial" w:cs="Arial"/>
          <w:sz w:val="24"/>
          <w:szCs w:val="24"/>
        </w:rPr>
        <w:t>;</w:t>
      </w:r>
    </w:p>
    <w:p w14:paraId="18D8F99A" w14:textId="77777777" w:rsidR="0083493D" w:rsidRPr="00B82233" w:rsidRDefault="0083493D" w:rsidP="00C026EF">
      <w:pPr>
        <w:numPr>
          <w:ilvl w:val="0"/>
          <w:numId w:val="4"/>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 xml:space="preserve">comunicar prontamente </w:t>
      </w:r>
      <w:r w:rsidR="008F4848" w:rsidRPr="00B82233">
        <w:rPr>
          <w:rFonts w:ascii="Arial" w:hAnsi="Arial" w:cs="Arial"/>
          <w:sz w:val="24"/>
          <w:szCs w:val="24"/>
        </w:rPr>
        <w:t>à INSTITUIÇÃO FINANCEIRA CREDENCIADA</w:t>
      </w:r>
      <w:r w:rsidRPr="00B82233">
        <w:rPr>
          <w:rFonts w:ascii="Arial" w:hAnsi="Arial" w:cs="Arial"/>
          <w:sz w:val="24"/>
          <w:szCs w:val="24"/>
        </w:rPr>
        <w:t xml:space="preserve"> qualquer ocorrência que importe modificação do </w:t>
      </w:r>
      <w:r w:rsidR="00581D7B" w:rsidRPr="00B82233">
        <w:rPr>
          <w:rFonts w:ascii="Arial" w:hAnsi="Arial" w:cs="Arial"/>
          <w:sz w:val="24"/>
          <w:szCs w:val="24"/>
        </w:rPr>
        <w:t>projeto</w:t>
      </w:r>
      <w:r w:rsidR="00232B15" w:rsidRPr="00B82233">
        <w:rPr>
          <w:rFonts w:ascii="Arial" w:hAnsi="Arial" w:cs="Arial"/>
          <w:sz w:val="24"/>
          <w:szCs w:val="24"/>
        </w:rPr>
        <w:t>, da FINALIDADE ou do Quadro de Aplicação de Recursos, quando for o caso, indicando as providências que julgue devam ser adotadas</w:t>
      </w:r>
      <w:r w:rsidRPr="00B82233">
        <w:rPr>
          <w:rFonts w:ascii="Arial" w:hAnsi="Arial" w:cs="Arial"/>
          <w:sz w:val="24"/>
          <w:szCs w:val="24"/>
        </w:rPr>
        <w:t>;</w:t>
      </w:r>
    </w:p>
    <w:p w14:paraId="391EF7D6" w14:textId="6B2D7B20" w:rsidR="003D041D" w:rsidRDefault="003D041D" w:rsidP="003D041D">
      <w:pPr>
        <w:numPr>
          <w:ilvl w:val="0"/>
          <w:numId w:val="4"/>
        </w:numPr>
        <w:spacing w:before="180"/>
        <w:ind w:left="709" w:hanging="709"/>
        <w:jc w:val="both"/>
        <w:rPr>
          <w:rFonts w:ascii="Arial" w:hAnsi="Arial" w:cs="Arial"/>
          <w:sz w:val="24"/>
          <w:szCs w:val="24"/>
        </w:rPr>
      </w:pPr>
      <w:r w:rsidRPr="00B82233">
        <w:rPr>
          <w:rFonts w:ascii="Arial" w:hAnsi="Arial" w:cs="Arial"/>
          <w:sz w:val="24"/>
          <w:szCs w:val="24"/>
        </w:rPr>
        <w:t xml:space="preserve">executar e concluir a FINALIDADE no prazo de até ....... (..................) meses, a contar da data da celebração do instrumento de crédito específico a ser celebrado com </w:t>
      </w:r>
      <w:r w:rsidR="00BD1C40">
        <w:rPr>
          <w:rFonts w:ascii="Arial" w:hAnsi="Arial" w:cs="Arial"/>
          <w:sz w:val="24"/>
          <w:szCs w:val="24"/>
        </w:rPr>
        <w:t>a</w:t>
      </w:r>
      <w:r w:rsidRPr="00B82233">
        <w:rPr>
          <w:rFonts w:ascii="Arial" w:hAnsi="Arial" w:cs="Arial"/>
          <w:sz w:val="24"/>
          <w:szCs w:val="24"/>
        </w:rPr>
        <w:t xml:space="preserve"> </w:t>
      </w:r>
      <w:r w:rsidR="00BD1C40">
        <w:rPr>
          <w:rFonts w:ascii="Arial" w:hAnsi="Arial" w:cs="Arial"/>
          <w:sz w:val="24"/>
          <w:szCs w:val="24"/>
        </w:rPr>
        <w:t>INSTITUIÇÃO</w:t>
      </w:r>
      <w:r w:rsidRPr="00B82233">
        <w:rPr>
          <w:rFonts w:ascii="Arial" w:hAnsi="Arial" w:cs="Arial"/>
          <w:sz w:val="24"/>
          <w:szCs w:val="24"/>
        </w:rPr>
        <w:t xml:space="preserve"> FINANCEIR</w:t>
      </w:r>
      <w:r w:rsidR="00BD1C40">
        <w:rPr>
          <w:rFonts w:ascii="Arial" w:hAnsi="Arial" w:cs="Arial"/>
          <w:sz w:val="24"/>
          <w:szCs w:val="24"/>
        </w:rPr>
        <w:t>A CREDENCIADA</w:t>
      </w:r>
      <w:r w:rsidRPr="00B82233">
        <w:rPr>
          <w:rFonts w:ascii="Arial" w:hAnsi="Arial" w:cs="Arial"/>
          <w:sz w:val="24"/>
          <w:szCs w:val="24"/>
        </w:rPr>
        <w:t>;</w:t>
      </w:r>
    </w:p>
    <w:p w14:paraId="526174BE" w14:textId="2ED0C567" w:rsidR="00AB6163" w:rsidRDefault="00AB6163" w:rsidP="003D041D">
      <w:pPr>
        <w:numPr>
          <w:ilvl w:val="0"/>
          <w:numId w:val="4"/>
        </w:numPr>
        <w:spacing w:before="180"/>
        <w:ind w:left="709" w:hanging="709"/>
        <w:jc w:val="both"/>
        <w:rPr>
          <w:rFonts w:ascii="Arial" w:hAnsi="Arial" w:cs="Arial"/>
          <w:sz w:val="24"/>
          <w:szCs w:val="24"/>
        </w:rPr>
      </w:pPr>
      <w:r>
        <w:rPr>
          <w:rFonts w:ascii="Arial" w:hAnsi="Arial" w:cs="Arial"/>
          <w:sz w:val="24"/>
          <w:szCs w:val="24"/>
        </w:rPr>
        <w:t>manter em situação regular suas obrigações relativas ao projeto perante os órgãos do meio ambiente, durante o prazo de vig</w:t>
      </w:r>
      <w:r w:rsidR="00A61882">
        <w:rPr>
          <w:rFonts w:ascii="Arial" w:hAnsi="Arial" w:cs="Arial"/>
          <w:sz w:val="24"/>
          <w:szCs w:val="24"/>
        </w:rPr>
        <w:t>ência da</w:t>
      </w:r>
      <w:r>
        <w:rPr>
          <w:rFonts w:ascii="Arial" w:hAnsi="Arial" w:cs="Arial"/>
          <w:sz w:val="24"/>
          <w:szCs w:val="24"/>
        </w:rPr>
        <w:t xml:space="preserve"> o</w:t>
      </w:r>
      <w:r w:rsidR="00A61882">
        <w:rPr>
          <w:rFonts w:ascii="Arial" w:hAnsi="Arial" w:cs="Arial"/>
          <w:sz w:val="24"/>
          <w:szCs w:val="24"/>
        </w:rPr>
        <w:t>peração</w:t>
      </w:r>
      <w:r w:rsidR="000A1095">
        <w:rPr>
          <w:rFonts w:ascii="Arial" w:hAnsi="Arial" w:cs="Arial"/>
          <w:sz w:val="24"/>
          <w:szCs w:val="24"/>
        </w:rPr>
        <w:t xml:space="preserve"> de crédito;</w:t>
      </w:r>
    </w:p>
    <w:p w14:paraId="11A557C8" w14:textId="45A2FE98" w:rsidR="00AB6163" w:rsidRDefault="00AB6163" w:rsidP="008956AB">
      <w:pPr>
        <w:spacing w:before="180"/>
        <w:ind w:left="709"/>
        <w:jc w:val="both"/>
        <w:rPr>
          <w:rFonts w:ascii="Arial" w:hAnsi="Arial" w:cs="Arial"/>
          <w:sz w:val="24"/>
          <w:szCs w:val="24"/>
        </w:rPr>
      </w:pPr>
      <w:r>
        <w:rPr>
          <w:rFonts w:ascii="Arial" w:hAnsi="Arial" w:cs="Arial"/>
          <w:sz w:val="24"/>
          <w:szCs w:val="24"/>
        </w:rPr>
        <w:t>Considera-se caracterizado o não atendimento desta obrigação nas seguintes hipóteses:</w:t>
      </w:r>
    </w:p>
    <w:p w14:paraId="568EF6E8" w14:textId="0795D783" w:rsidR="00AB6163" w:rsidRDefault="00AB6163" w:rsidP="008956AB">
      <w:pPr>
        <w:numPr>
          <w:ilvl w:val="2"/>
          <w:numId w:val="4"/>
        </w:numPr>
        <w:tabs>
          <w:tab w:val="left" w:pos="1276"/>
        </w:tabs>
        <w:spacing w:before="180"/>
        <w:ind w:left="1276" w:hanging="567"/>
        <w:jc w:val="both"/>
        <w:rPr>
          <w:rFonts w:ascii="Arial" w:hAnsi="Arial" w:cs="Arial"/>
          <w:sz w:val="24"/>
          <w:szCs w:val="24"/>
        </w:rPr>
      </w:pPr>
      <w:r>
        <w:rPr>
          <w:rFonts w:ascii="Arial" w:hAnsi="Arial" w:cs="Arial"/>
          <w:sz w:val="24"/>
          <w:szCs w:val="24"/>
        </w:rPr>
        <w:t>quando deixar de ser verdadeira</w:t>
      </w:r>
      <w:r w:rsidR="002832EB">
        <w:rPr>
          <w:rFonts w:ascii="Arial" w:hAnsi="Arial" w:cs="Arial"/>
          <w:sz w:val="24"/>
          <w:szCs w:val="24"/>
        </w:rPr>
        <w:t>, consistente, correta ou suficiente</w:t>
      </w:r>
      <w:r>
        <w:rPr>
          <w:rFonts w:ascii="Arial" w:hAnsi="Arial" w:cs="Arial"/>
          <w:sz w:val="24"/>
          <w:szCs w:val="24"/>
        </w:rPr>
        <w:t xml:space="preserve"> a declaração apresentada à INSTITUIÇÃO FINANCEIRA CREDENCIADA no sentido de que: 1) cumpre o disposto na legislação referente à Política Nacional do Meio Ambiente e adota medidas e ações destinadas a evitar ou corrigir danos ou violações</w:t>
      </w:r>
      <w:r w:rsidR="008C68F4">
        <w:rPr>
          <w:rFonts w:ascii="Arial" w:hAnsi="Arial" w:cs="Arial"/>
          <w:sz w:val="24"/>
          <w:szCs w:val="24"/>
        </w:rPr>
        <w:t xml:space="preserve"> ao meio ambiente, segurança e medicina do trabalho que possam vir a ser causados em decorrência do projeto; 2) está regular perante os órgãos do meio ambiente, permanecendo válidas todas as licenças, autorizações, outorgas e afins atualmente necessárias para o projeto apresentadas à INSTITUIÇÃO FINANCEIRA CREDENCIADA; e 3) não tem conhecimento de qualquer fato ou evento, incluindo a emissão de decisão administrativa ou judicial, que comprometa a regularidade ambiental do projeto financiado.</w:t>
      </w:r>
    </w:p>
    <w:p w14:paraId="5915755F" w14:textId="40663E4A" w:rsidR="00E71539" w:rsidRDefault="00D83D3A" w:rsidP="008956AB">
      <w:pPr>
        <w:numPr>
          <w:ilvl w:val="2"/>
          <w:numId w:val="4"/>
        </w:numPr>
        <w:tabs>
          <w:tab w:val="left" w:pos="1276"/>
        </w:tabs>
        <w:spacing w:before="180"/>
        <w:ind w:left="1276" w:hanging="567"/>
        <w:jc w:val="both"/>
        <w:rPr>
          <w:rFonts w:ascii="Arial" w:hAnsi="Arial" w:cs="Arial"/>
          <w:sz w:val="24"/>
          <w:szCs w:val="24"/>
        </w:rPr>
      </w:pPr>
      <w:r>
        <w:rPr>
          <w:rFonts w:ascii="Arial" w:hAnsi="Arial" w:cs="Arial"/>
          <w:sz w:val="24"/>
          <w:szCs w:val="24"/>
        </w:rPr>
        <w:t>quando não reapresentada a declaração prevista no item (i) acima, sempre que solicitada pela INSTITUIÇÃO FINANCEIRA CREDENCIADA.</w:t>
      </w:r>
    </w:p>
    <w:p w14:paraId="3B582A94" w14:textId="561A5D46" w:rsidR="00D83D3A" w:rsidRDefault="00402531" w:rsidP="008956AB">
      <w:pPr>
        <w:numPr>
          <w:ilvl w:val="2"/>
          <w:numId w:val="4"/>
        </w:numPr>
        <w:tabs>
          <w:tab w:val="left" w:pos="1276"/>
        </w:tabs>
        <w:spacing w:before="180"/>
        <w:ind w:left="1276" w:hanging="567"/>
        <w:jc w:val="both"/>
        <w:rPr>
          <w:rFonts w:ascii="Arial" w:hAnsi="Arial" w:cs="Arial"/>
          <w:sz w:val="24"/>
          <w:szCs w:val="24"/>
        </w:rPr>
      </w:pPr>
      <w:r>
        <w:rPr>
          <w:rFonts w:ascii="Arial" w:hAnsi="Arial" w:cs="Arial"/>
          <w:sz w:val="24"/>
          <w:szCs w:val="24"/>
        </w:rPr>
        <w:t>i</w:t>
      </w:r>
      <w:r w:rsidR="00D83D3A">
        <w:rPr>
          <w:rFonts w:ascii="Arial" w:hAnsi="Arial" w:cs="Arial"/>
          <w:sz w:val="24"/>
          <w:szCs w:val="24"/>
        </w:rPr>
        <w:t>nexistência ou perda da validade e/ou eficácia de qualquer uma das licenças ambientais, devidamente emitidas pelo órgão ambiental competente, necessárias para a implantação e/ou operação do projeto, conforme o estágio do projeto; ou</w:t>
      </w:r>
    </w:p>
    <w:p w14:paraId="70E9BAAE" w14:textId="605BABC5" w:rsidR="00D83D3A" w:rsidRPr="00B82233" w:rsidRDefault="00402531" w:rsidP="008956AB">
      <w:pPr>
        <w:numPr>
          <w:ilvl w:val="2"/>
          <w:numId w:val="4"/>
        </w:numPr>
        <w:tabs>
          <w:tab w:val="left" w:pos="1276"/>
        </w:tabs>
        <w:spacing w:before="180"/>
        <w:ind w:left="1276" w:hanging="567"/>
        <w:jc w:val="both"/>
        <w:rPr>
          <w:rFonts w:ascii="Arial" w:hAnsi="Arial" w:cs="Arial"/>
          <w:sz w:val="24"/>
          <w:szCs w:val="24"/>
        </w:rPr>
      </w:pPr>
      <w:r>
        <w:rPr>
          <w:rFonts w:ascii="Arial" w:hAnsi="Arial" w:cs="Arial"/>
          <w:sz w:val="24"/>
          <w:szCs w:val="24"/>
        </w:rPr>
        <w:lastRenderedPageBreak/>
        <w:t>e</w:t>
      </w:r>
      <w:r w:rsidR="00D83D3A">
        <w:rPr>
          <w:rFonts w:ascii="Arial" w:hAnsi="Arial" w:cs="Arial"/>
          <w:sz w:val="24"/>
          <w:szCs w:val="24"/>
        </w:rPr>
        <w:t>xistência de decisão administrativa ou judicial que: 1) acarrete a suspensão, invalidade ou extinção do licenciamento ambiental do projeto ou 2) determine a irregularidade ambiental do projeto, desde que, em ambas as hipóteses, os efeitos da decisão não estejam suspensos.</w:t>
      </w:r>
    </w:p>
    <w:p w14:paraId="7D20BF78" w14:textId="77777777" w:rsidR="00FE10EB" w:rsidRPr="00B82233" w:rsidRDefault="00FE10EB" w:rsidP="00C026EF">
      <w:pPr>
        <w:numPr>
          <w:ilvl w:val="0"/>
          <w:numId w:val="4"/>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permitir ao BNDES</w:t>
      </w:r>
      <w:r w:rsidR="00AE2664" w:rsidRPr="00B82233">
        <w:rPr>
          <w:rFonts w:ascii="Arial" w:hAnsi="Arial" w:cs="Arial"/>
          <w:sz w:val="24"/>
          <w:szCs w:val="24"/>
        </w:rPr>
        <w:t>/FINAME</w:t>
      </w:r>
      <w:r w:rsidRPr="00B82233">
        <w:rPr>
          <w:rFonts w:ascii="Arial" w:hAnsi="Arial" w:cs="Arial"/>
          <w:sz w:val="24"/>
          <w:szCs w:val="24"/>
        </w:rPr>
        <w:t>, diretamente ou por meio da INSTITUIÇÃO FINANCEIRA CREDENCIADA, o livre acesso às suas dependências e aos seus registros contábeis, para efeito de controle da colaboração financeira, prestando toda e qualquer informação solicitada;</w:t>
      </w:r>
    </w:p>
    <w:p w14:paraId="6C5E48EA" w14:textId="45AFD5DE" w:rsidR="00FE10EB" w:rsidRDefault="00FE10EB" w:rsidP="00C026EF">
      <w:pPr>
        <w:numPr>
          <w:ilvl w:val="0"/>
          <w:numId w:val="4"/>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mencionar expressamente a cooperação do BNDES</w:t>
      </w:r>
      <w:r w:rsidR="00AE2664" w:rsidRPr="00B82233">
        <w:rPr>
          <w:rFonts w:ascii="Arial" w:hAnsi="Arial" w:cs="Arial"/>
          <w:sz w:val="24"/>
          <w:szCs w:val="24"/>
        </w:rPr>
        <w:t>/FINAME</w:t>
      </w:r>
      <w:r w:rsidRPr="00B82233">
        <w:rPr>
          <w:rFonts w:ascii="Arial" w:hAnsi="Arial" w:cs="Arial"/>
          <w:sz w:val="24"/>
          <w:szCs w:val="24"/>
        </w:rPr>
        <w:t xml:space="preserve">, como </w:t>
      </w:r>
      <w:r w:rsidR="00AE2664" w:rsidRPr="00B82233">
        <w:rPr>
          <w:rFonts w:ascii="Arial" w:hAnsi="Arial" w:cs="Arial"/>
          <w:sz w:val="24"/>
          <w:szCs w:val="24"/>
        </w:rPr>
        <w:t>entidades financiadoras</w:t>
      </w:r>
      <w:r w:rsidRPr="00B82233">
        <w:rPr>
          <w:rFonts w:ascii="Arial" w:hAnsi="Arial" w:cs="Arial"/>
          <w:sz w:val="24"/>
          <w:szCs w:val="24"/>
        </w:rPr>
        <w:t xml:space="preserve">, sempre que fizer publicidade do </w:t>
      </w:r>
      <w:r w:rsidR="00AE2664" w:rsidRPr="00B82233">
        <w:rPr>
          <w:rFonts w:ascii="Arial" w:hAnsi="Arial" w:cs="Arial"/>
          <w:sz w:val="24"/>
          <w:szCs w:val="24"/>
        </w:rPr>
        <w:t>bem,</w:t>
      </w:r>
      <w:r w:rsidRPr="00B82233">
        <w:rPr>
          <w:rFonts w:ascii="Arial" w:hAnsi="Arial" w:cs="Arial"/>
          <w:sz w:val="24"/>
          <w:szCs w:val="24"/>
        </w:rPr>
        <w:t xml:space="preserve"> de sua utilização</w:t>
      </w:r>
      <w:r w:rsidR="00AE2664" w:rsidRPr="00B82233">
        <w:rPr>
          <w:rFonts w:ascii="Arial" w:hAnsi="Arial" w:cs="Arial"/>
          <w:sz w:val="24"/>
          <w:szCs w:val="24"/>
        </w:rPr>
        <w:t xml:space="preserve"> ou do </w:t>
      </w:r>
      <w:r w:rsidR="007E2092">
        <w:rPr>
          <w:rFonts w:ascii="Arial" w:hAnsi="Arial" w:cs="Arial"/>
          <w:sz w:val="24"/>
          <w:szCs w:val="24"/>
        </w:rPr>
        <w:t>projeto</w:t>
      </w:r>
      <w:r w:rsidRPr="00B82233">
        <w:rPr>
          <w:rFonts w:ascii="Arial" w:hAnsi="Arial" w:cs="Arial"/>
          <w:sz w:val="24"/>
          <w:szCs w:val="24"/>
        </w:rPr>
        <w:t>;</w:t>
      </w:r>
    </w:p>
    <w:p w14:paraId="4A600C8D" w14:textId="464FD7FA" w:rsidR="001C06DF" w:rsidRDefault="001C06DF" w:rsidP="00C026EF">
      <w:pPr>
        <w:numPr>
          <w:ilvl w:val="0"/>
          <w:numId w:val="4"/>
        </w:numPr>
        <w:tabs>
          <w:tab w:val="clear" w:pos="0"/>
          <w:tab w:val="num" w:pos="709"/>
        </w:tabs>
        <w:spacing w:before="180"/>
        <w:ind w:left="709" w:hanging="709"/>
        <w:jc w:val="both"/>
        <w:rPr>
          <w:rFonts w:ascii="Arial" w:hAnsi="Arial" w:cs="Arial"/>
          <w:sz w:val="24"/>
          <w:szCs w:val="24"/>
        </w:rPr>
      </w:pPr>
      <w:r>
        <w:rPr>
          <w:rFonts w:ascii="Arial" w:hAnsi="Arial" w:cs="Arial"/>
          <w:sz w:val="24"/>
          <w:szCs w:val="24"/>
        </w:rPr>
        <w:t>notificar a INSTITUIÇÃO FINANCEIRA CREDENCIADA sobre a ocorrência de dano ambiental que possa comprometer o projeto, em até 5 (cinco) dias úteis da data da sua ciência, indicando as medidas e ações em andamento ou já tomadas para corrigir e/ou sanar tais danos e fornecendo eventuais documentos produzidos/emitidos relacionados ao evento.</w:t>
      </w:r>
    </w:p>
    <w:p w14:paraId="5FD3401F" w14:textId="0793BCE5" w:rsidR="001C06DF" w:rsidRPr="00B82233" w:rsidRDefault="001C06DF" w:rsidP="00B82233">
      <w:pPr>
        <w:spacing w:before="180"/>
        <w:ind w:left="709"/>
        <w:jc w:val="both"/>
        <w:rPr>
          <w:rFonts w:ascii="Arial" w:hAnsi="Arial" w:cs="Arial"/>
          <w:sz w:val="24"/>
          <w:szCs w:val="24"/>
        </w:rPr>
      </w:pPr>
      <w:r>
        <w:rPr>
          <w:rFonts w:ascii="Arial" w:hAnsi="Arial" w:cs="Arial"/>
          <w:sz w:val="24"/>
          <w:szCs w:val="24"/>
        </w:rPr>
        <w:t>Para os fins desta obrigação, considera-se ciência d</w:t>
      </w:r>
      <w:r w:rsidR="0080070D">
        <w:rPr>
          <w:rFonts w:ascii="Arial" w:hAnsi="Arial" w:cs="Arial"/>
          <w:sz w:val="24"/>
          <w:szCs w:val="24"/>
        </w:rPr>
        <w:t>o</w:t>
      </w:r>
      <w:r>
        <w:rPr>
          <w:rFonts w:ascii="Arial" w:hAnsi="Arial" w:cs="Arial"/>
          <w:sz w:val="24"/>
          <w:szCs w:val="24"/>
        </w:rPr>
        <w:t xml:space="preserve"> </w:t>
      </w:r>
      <w:r w:rsidR="004C5446">
        <w:rPr>
          <w:rFonts w:ascii="Arial" w:hAnsi="Arial" w:cs="Arial"/>
          <w:sz w:val="24"/>
          <w:szCs w:val="24"/>
        </w:rPr>
        <w:t>CLIENTE</w:t>
      </w:r>
      <w:r>
        <w:rPr>
          <w:rFonts w:ascii="Arial" w:hAnsi="Arial" w:cs="Arial"/>
          <w:sz w:val="24"/>
          <w:szCs w:val="24"/>
        </w:rPr>
        <w:t>: (i) o recebimento de citação, intimação ou notificação, judicial ou extrajudicial, efetuadas por autoridade judicial ou administrativa; (ii) a comunicação do fato pel</w:t>
      </w:r>
      <w:r w:rsidR="0080070D">
        <w:rPr>
          <w:rFonts w:ascii="Arial" w:hAnsi="Arial" w:cs="Arial"/>
          <w:sz w:val="24"/>
          <w:szCs w:val="24"/>
        </w:rPr>
        <w:t>o</w:t>
      </w:r>
      <w:r>
        <w:rPr>
          <w:rFonts w:ascii="Arial" w:hAnsi="Arial" w:cs="Arial"/>
          <w:sz w:val="24"/>
          <w:szCs w:val="24"/>
        </w:rPr>
        <w:t xml:space="preserve"> </w:t>
      </w:r>
      <w:r w:rsidR="004C5446">
        <w:rPr>
          <w:rFonts w:ascii="Arial" w:hAnsi="Arial" w:cs="Arial"/>
          <w:sz w:val="24"/>
          <w:szCs w:val="24"/>
        </w:rPr>
        <w:t>CLIENTE</w:t>
      </w:r>
      <w:r>
        <w:rPr>
          <w:rFonts w:ascii="Arial" w:hAnsi="Arial" w:cs="Arial"/>
          <w:sz w:val="24"/>
          <w:szCs w:val="24"/>
        </w:rPr>
        <w:t xml:space="preserve"> à autoridade competente; e (iii) a adoção de medida pel</w:t>
      </w:r>
      <w:r w:rsidR="0080070D">
        <w:rPr>
          <w:rFonts w:ascii="Arial" w:hAnsi="Arial" w:cs="Arial"/>
          <w:sz w:val="24"/>
          <w:szCs w:val="24"/>
        </w:rPr>
        <w:t>o</w:t>
      </w:r>
      <w:r>
        <w:rPr>
          <w:rFonts w:ascii="Arial" w:hAnsi="Arial" w:cs="Arial"/>
          <w:sz w:val="24"/>
          <w:szCs w:val="24"/>
        </w:rPr>
        <w:t xml:space="preserve"> </w:t>
      </w:r>
      <w:r w:rsidR="004C5446">
        <w:rPr>
          <w:rFonts w:ascii="Arial" w:hAnsi="Arial" w:cs="Arial"/>
          <w:sz w:val="24"/>
          <w:szCs w:val="24"/>
        </w:rPr>
        <w:t>CLIENTE</w:t>
      </w:r>
      <w:r>
        <w:rPr>
          <w:rFonts w:ascii="Arial" w:hAnsi="Arial" w:cs="Arial"/>
          <w:sz w:val="24"/>
          <w:szCs w:val="24"/>
        </w:rPr>
        <w:t xml:space="preserve"> para corrigir e/ou sanar os danos.</w:t>
      </w:r>
    </w:p>
    <w:p w14:paraId="0B764437" w14:textId="77777777" w:rsidR="005A2CED" w:rsidRPr="002E7A6E" w:rsidRDefault="005A2CED" w:rsidP="00C026EF">
      <w:pPr>
        <w:numPr>
          <w:ilvl w:val="0"/>
          <w:numId w:val="4"/>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 xml:space="preserve">apresentar à Instituição Financeira Credenciada, no prazo de até 180 (cento e oitenta) dias, contado a partir do dia seguinte ao término do prazo de execução, a Licença de Operação do projeto, oficialmente publicada, expedida pelo órgão ambiental competente. </w:t>
      </w:r>
    </w:p>
    <w:p w14:paraId="02D50EE5" w14:textId="11BC3709" w:rsidR="00456B87" w:rsidRPr="007E173A" w:rsidRDefault="00456B87" w:rsidP="006B5463">
      <w:pPr>
        <w:numPr>
          <w:ilvl w:val="0"/>
          <w:numId w:val="4"/>
        </w:numPr>
        <w:tabs>
          <w:tab w:val="clear" w:pos="0"/>
          <w:tab w:val="num" w:pos="709"/>
        </w:tabs>
        <w:spacing w:before="180"/>
        <w:ind w:left="709" w:hanging="709"/>
        <w:jc w:val="both"/>
        <w:rPr>
          <w:rFonts w:ascii="Arial" w:hAnsi="Arial" w:cs="Arial"/>
          <w:strike/>
          <w:sz w:val="24"/>
          <w:szCs w:val="24"/>
        </w:rPr>
      </w:pPr>
      <w:r w:rsidRPr="007E173A">
        <w:rPr>
          <w:rFonts w:ascii="Arial" w:hAnsi="Arial" w:cs="Arial"/>
          <w:strike/>
          <w:sz w:val="24"/>
          <w:szCs w:val="24"/>
        </w:rPr>
        <w:t>notificar a INSITTUIÇÃO FINANCEIRA CREDENCIADA, em até 30 (trinta) dias corridos da data em que tomar ciência, de que ela ou qualquer de seus administradores/dirigentes; suas controladoras diretas ou indiretas; controladas diretas ou indiretas; seus empregados, mandatários ou representantes; bem como fornecedores de produto ou serviço essencial para a execução do projeto/operação encontram-se envolvidos em ação, procedimento e/ou processo, judicial ou administrativo considerado relevante, conduzidos por autoridade administrativa ou judicial nacional ou estrangeira, desde que não estejam sob sigilo ou segredo de justiça, devendo, quando solicitado pela INSTITUIÇÃO FINANCEIRA CREDENCIADA e sempre que disponível, fornecer cópia de eventuais decisões proferidas e de quaisquer acordos judiciais ou extrajudiciais firmados no âmbito dos citados procedimentos, bem como informações detalhadas sobre as medidas adotadas em resposta a tais procedimentos.</w:t>
      </w:r>
    </w:p>
    <w:p w14:paraId="6B943398" w14:textId="30F9699F" w:rsidR="006710A5" w:rsidRPr="007E173A" w:rsidRDefault="006710A5" w:rsidP="00B82233">
      <w:pPr>
        <w:spacing w:before="180"/>
        <w:ind w:left="709"/>
        <w:jc w:val="both"/>
        <w:rPr>
          <w:rFonts w:ascii="Arial" w:hAnsi="Arial" w:cs="Arial"/>
          <w:strike/>
          <w:sz w:val="24"/>
          <w:szCs w:val="24"/>
        </w:rPr>
      </w:pPr>
      <w:r w:rsidRPr="007E173A">
        <w:rPr>
          <w:rFonts w:ascii="Arial" w:hAnsi="Arial" w:cs="Arial"/>
          <w:strike/>
          <w:sz w:val="24"/>
          <w:szCs w:val="24"/>
        </w:rPr>
        <w:t>Para os fins dessa obrigação, considera-se ciência d</w:t>
      </w:r>
      <w:r w:rsidR="0080070D" w:rsidRPr="007E173A">
        <w:rPr>
          <w:rFonts w:ascii="Arial" w:hAnsi="Arial" w:cs="Arial"/>
          <w:strike/>
          <w:sz w:val="24"/>
          <w:szCs w:val="24"/>
        </w:rPr>
        <w:t>o</w:t>
      </w:r>
      <w:r w:rsidRPr="007E173A">
        <w:rPr>
          <w:rFonts w:ascii="Arial" w:hAnsi="Arial" w:cs="Arial"/>
          <w:strike/>
          <w:sz w:val="24"/>
          <w:szCs w:val="24"/>
        </w:rPr>
        <w:t xml:space="preserve"> </w:t>
      </w:r>
      <w:r w:rsidR="004C5446" w:rsidRPr="007E173A">
        <w:rPr>
          <w:rFonts w:ascii="Arial" w:hAnsi="Arial" w:cs="Arial"/>
          <w:strike/>
          <w:sz w:val="24"/>
          <w:szCs w:val="24"/>
        </w:rPr>
        <w:t>CLIENTE</w:t>
      </w:r>
      <w:r w:rsidRPr="007E173A">
        <w:rPr>
          <w:rFonts w:ascii="Arial" w:hAnsi="Arial" w:cs="Arial"/>
          <w:strike/>
          <w:sz w:val="24"/>
          <w:szCs w:val="24"/>
        </w:rPr>
        <w:t>:</w:t>
      </w:r>
      <w:r w:rsidR="000F6A91" w:rsidRPr="007E173A">
        <w:rPr>
          <w:rFonts w:ascii="Arial" w:hAnsi="Arial" w:cs="Arial"/>
          <w:strike/>
          <w:sz w:val="24"/>
          <w:szCs w:val="24"/>
        </w:rPr>
        <w:t xml:space="preserve"> (i) o recebimento de citação, intimação ou notificação, judicial ou extrajudicial, efetuadas por autoridade judicial ou administrativa, nacional ou estrangeira; (ii) a comunicação do fato pel</w:t>
      </w:r>
      <w:r w:rsidR="0080070D" w:rsidRPr="007E173A">
        <w:rPr>
          <w:rFonts w:ascii="Arial" w:hAnsi="Arial" w:cs="Arial"/>
          <w:strike/>
          <w:sz w:val="24"/>
          <w:szCs w:val="24"/>
        </w:rPr>
        <w:t>o</w:t>
      </w:r>
      <w:r w:rsidR="000F6A91" w:rsidRPr="007E173A">
        <w:rPr>
          <w:rFonts w:ascii="Arial" w:hAnsi="Arial" w:cs="Arial"/>
          <w:strike/>
          <w:sz w:val="24"/>
          <w:szCs w:val="24"/>
        </w:rPr>
        <w:t xml:space="preserve"> </w:t>
      </w:r>
      <w:r w:rsidR="004C5446" w:rsidRPr="007E173A">
        <w:rPr>
          <w:rFonts w:ascii="Arial" w:hAnsi="Arial" w:cs="Arial"/>
          <w:strike/>
          <w:sz w:val="24"/>
          <w:szCs w:val="24"/>
        </w:rPr>
        <w:t>CLIENTE</w:t>
      </w:r>
      <w:r w:rsidR="000F6A91" w:rsidRPr="007E173A">
        <w:rPr>
          <w:rFonts w:ascii="Arial" w:hAnsi="Arial" w:cs="Arial"/>
          <w:strike/>
          <w:sz w:val="24"/>
          <w:szCs w:val="24"/>
        </w:rPr>
        <w:t xml:space="preserve"> à autoridade competente; e (iii) a adoção de medida judicial ou extrajudicial pel</w:t>
      </w:r>
      <w:r w:rsidR="0080070D" w:rsidRPr="007E173A">
        <w:rPr>
          <w:rFonts w:ascii="Arial" w:hAnsi="Arial" w:cs="Arial"/>
          <w:strike/>
          <w:sz w:val="24"/>
          <w:szCs w:val="24"/>
        </w:rPr>
        <w:t>o</w:t>
      </w:r>
      <w:r w:rsidR="000F6A91" w:rsidRPr="007E173A">
        <w:rPr>
          <w:rFonts w:ascii="Arial" w:hAnsi="Arial" w:cs="Arial"/>
          <w:strike/>
          <w:sz w:val="24"/>
          <w:szCs w:val="24"/>
        </w:rPr>
        <w:t xml:space="preserve"> </w:t>
      </w:r>
      <w:r w:rsidR="004C5446" w:rsidRPr="007E173A">
        <w:rPr>
          <w:rFonts w:ascii="Arial" w:hAnsi="Arial" w:cs="Arial"/>
          <w:strike/>
          <w:sz w:val="24"/>
          <w:szCs w:val="24"/>
        </w:rPr>
        <w:t>CLIENTE</w:t>
      </w:r>
      <w:r w:rsidR="000F6A91" w:rsidRPr="007E173A">
        <w:rPr>
          <w:rFonts w:ascii="Arial" w:hAnsi="Arial" w:cs="Arial"/>
          <w:strike/>
          <w:sz w:val="24"/>
          <w:szCs w:val="24"/>
        </w:rPr>
        <w:t xml:space="preserve"> contra o infrator.</w:t>
      </w:r>
    </w:p>
    <w:p w14:paraId="15746DB0" w14:textId="77777777" w:rsidR="007E173A" w:rsidRDefault="000F6A91" w:rsidP="007E173A">
      <w:pPr>
        <w:tabs>
          <w:tab w:val="left" w:pos="709"/>
        </w:tabs>
        <w:spacing w:before="180"/>
        <w:ind w:left="709"/>
        <w:jc w:val="both"/>
        <w:rPr>
          <w:rFonts w:ascii="Arial" w:hAnsi="Arial" w:cs="Arial"/>
          <w:sz w:val="24"/>
          <w:szCs w:val="24"/>
        </w:rPr>
      </w:pPr>
      <w:r w:rsidRPr="007E173A">
        <w:rPr>
          <w:rFonts w:ascii="Arial" w:hAnsi="Arial" w:cs="Arial"/>
          <w:strike/>
          <w:sz w:val="24"/>
          <w:szCs w:val="24"/>
        </w:rPr>
        <w:t xml:space="preserve">Para os fins dessa obrigação são considerados relevantes: (i) todos os processos administrativos sancionadores, ações civis públicas (inclusive de improbidade </w:t>
      </w:r>
      <w:r w:rsidRPr="007E173A">
        <w:rPr>
          <w:rFonts w:ascii="Arial" w:hAnsi="Arial" w:cs="Arial"/>
          <w:strike/>
          <w:sz w:val="24"/>
          <w:szCs w:val="24"/>
        </w:rPr>
        <w:lastRenderedPageBreak/>
        <w:t>administrativa), populares ou coletivas, ações cíveis ou penais relativos a ilícitos praticados contra a administração pública, nacional ou estrangeira, contra a ordem econômica ou tributária, o sistema financeiro, o mercado de capitais ou, de “lavagem” ou ocultação de bens, direitos e valores, terrorismo ou financiamento ao terrorismo</w:t>
      </w:r>
      <w:r w:rsidR="008F12D8" w:rsidRPr="007E173A">
        <w:rPr>
          <w:rFonts w:ascii="Arial" w:hAnsi="Arial" w:cs="Arial"/>
          <w:strike/>
          <w:sz w:val="24"/>
          <w:szCs w:val="24"/>
        </w:rPr>
        <w:t>, ou que importem discriminação de raça ou gênero, trabalho infantil ou trabalho escravo, assédio moral ou sexual ou crimes contra o meio ambiente; (ii) todos os processos administrativos sancionadores, ações civis públicas (inclusive de improbidade administrativa), populares ou coletivas, ações cíveis ou penais que representem risco à reputação d</w:t>
      </w:r>
      <w:r w:rsidR="0080070D" w:rsidRPr="007E173A">
        <w:rPr>
          <w:rFonts w:ascii="Arial" w:hAnsi="Arial" w:cs="Arial"/>
          <w:strike/>
          <w:sz w:val="24"/>
          <w:szCs w:val="24"/>
        </w:rPr>
        <w:t>o</w:t>
      </w:r>
      <w:r w:rsidR="008F12D8" w:rsidRPr="007E173A">
        <w:rPr>
          <w:rFonts w:ascii="Arial" w:hAnsi="Arial" w:cs="Arial"/>
          <w:strike/>
          <w:sz w:val="24"/>
          <w:szCs w:val="24"/>
        </w:rPr>
        <w:t xml:space="preserve"> </w:t>
      </w:r>
      <w:r w:rsidR="004C5446" w:rsidRPr="007E173A">
        <w:rPr>
          <w:rFonts w:ascii="Arial" w:hAnsi="Arial" w:cs="Arial"/>
          <w:strike/>
          <w:sz w:val="24"/>
          <w:szCs w:val="24"/>
        </w:rPr>
        <w:t>CLIENTE</w:t>
      </w:r>
      <w:r w:rsidR="008F12D8" w:rsidRPr="007E173A">
        <w:rPr>
          <w:rFonts w:ascii="Arial" w:hAnsi="Arial" w:cs="Arial"/>
          <w:strike/>
          <w:sz w:val="24"/>
          <w:szCs w:val="24"/>
        </w:rPr>
        <w:t>; (iii) os procedimentos ou processos em face de empregados, mandatários ou representantes d</w:t>
      </w:r>
      <w:r w:rsidR="0080070D" w:rsidRPr="007E173A">
        <w:rPr>
          <w:rFonts w:ascii="Arial" w:hAnsi="Arial" w:cs="Arial"/>
          <w:strike/>
          <w:sz w:val="24"/>
          <w:szCs w:val="24"/>
        </w:rPr>
        <w:t>o</w:t>
      </w:r>
      <w:r w:rsidR="008F12D8" w:rsidRPr="007E173A">
        <w:rPr>
          <w:rFonts w:ascii="Arial" w:hAnsi="Arial" w:cs="Arial"/>
          <w:strike/>
          <w:sz w:val="24"/>
          <w:szCs w:val="24"/>
        </w:rPr>
        <w:t xml:space="preserve"> </w:t>
      </w:r>
      <w:r w:rsidR="004C5446" w:rsidRPr="007E173A">
        <w:rPr>
          <w:rFonts w:ascii="Arial" w:hAnsi="Arial" w:cs="Arial"/>
          <w:strike/>
          <w:sz w:val="24"/>
          <w:szCs w:val="24"/>
        </w:rPr>
        <w:t>CLIENTE</w:t>
      </w:r>
      <w:r w:rsidR="008F12D8" w:rsidRPr="007E173A">
        <w:rPr>
          <w:rFonts w:ascii="Arial" w:hAnsi="Arial" w:cs="Arial"/>
          <w:strike/>
          <w:sz w:val="24"/>
          <w:szCs w:val="24"/>
        </w:rPr>
        <w:t>, em que esta possa ser responsabilizada ou que representem risco a sua reputação; (iv) os procedimentos ou processos em face de fornecedores de produto ou serviço essencial para a execução do projeto que representem risco à reputação d</w:t>
      </w:r>
      <w:r w:rsidR="0080070D" w:rsidRPr="007E173A">
        <w:rPr>
          <w:rFonts w:ascii="Arial" w:hAnsi="Arial" w:cs="Arial"/>
          <w:strike/>
          <w:sz w:val="24"/>
          <w:szCs w:val="24"/>
        </w:rPr>
        <w:t>o</w:t>
      </w:r>
      <w:r w:rsidR="008F12D8" w:rsidRPr="007E173A">
        <w:rPr>
          <w:rFonts w:ascii="Arial" w:hAnsi="Arial" w:cs="Arial"/>
          <w:strike/>
          <w:sz w:val="24"/>
          <w:szCs w:val="24"/>
        </w:rPr>
        <w:t xml:space="preserve"> </w:t>
      </w:r>
      <w:r w:rsidR="004C5446" w:rsidRPr="007E173A">
        <w:rPr>
          <w:rFonts w:ascii="Arial" w:hAnsi="Arial" w:cs="Arial"/>
          <w:strike/>
          <w:sz w:val="24"/>
          <w:szCs w:val="24"/>
        </w:rPr>
        <w:t>CLIENTE</w:t>
      </w:r>
      <w:r w:rsidR="008F12D8" w:rsidRPr="007E173A">
        <w:rPr>
          <w:rFonts w:ascii="Arial" w:hAnsi="Arial" w:cs="Arial"/>
          <w:strike/>
          <w:sz w:val="24"/>
          <w:szCs w:val="24"/>
        </w:rPr>
        <w:t xml:space="preserve"> e/ou à execução do projeto</w:t>
      </w:r>
      <w:r w:rsidR="008F12D8">
        <w:rPr>
          <w:rFonts w:ascii="Arial" w:hAnsi="Arial" w:cs="Arial"/>
          <w:sz w:val="24"/>
          <w:szCs w:val="24"/>
        </w:rPr>
        <w:t>.</w:t>
      </w:r>
      <w:r w:rsidR="007E173A" w:rsidRPr="007E173A">
        <w:rPr>
          <w:rFonts w:ascii="Arial" w:hAnsi="Arial" w:cs="Arial"/>
          <w:sz w:val="24"/>
          <w:szCs w:val="24"/>
        </w:rPr>
        <w:t xml:space="preserve"> </w:t>
      </w:r>
    </w:p>
    <w:p w14:paraId="7F5ABC22" w14:textId="359E501E" w:rsidR="007E173A" w:rsidRPr="00287F59" w:rsidRDefault="007E173A" w:rsidP="007E173A">
      <w:pPr>
        <w:spacing w:before="180"/>
        <w:ind w:left="709"/>
        <w:jc w:val="both"/>
        <w:rPr>
          <w:rFonts w:ascii="Arial" w:hAnsi="Arial" w:cs="Arial"/>
          <w:sz w:val="24"/>
          <w:szCs w:val="24"/>
        </w:rPr>
      </w:pPr>
      <w:r w:rsidRPr="00287F59">
        <w:rPr>
          <w:rFonts w:ascii="Arial" w:hAnsi="Arial" w:cs="Arial"/>
          <w:sz w:val="24"/>
          <w:szCs w:val="24"/>
        </w:rPr>
        <w:t>notificar a INSTITUIÇÃO FINANCEIRA CREDENCIADA, em até 30 (trinta) dias corridos da data em que tomar ciência de que ela ou qualquer de seus administradores/dirigentes; suas controladoras diretas ou indiretas; controladas diretas ou indiretas; seus empregados, mandatários ou representantes; bem como fornecedores de produto ou serviço essencial para a execução do projeto/operação encontram-se envolvidos em ação, procedimento e/ou processo, judicial ou administrativo, considerado relevante, conduzidos por autoridade administrativa ou judicial nacional ou estrangeira, desde que não estejam sob sigilo ou segredo de justiça, devendo, quando solicitado pela INSTITUIÇÃO FINANCEIRA CREDENCIADA e sempre que disponível, fornecer cópia de eventuais decisões proferidas e de quaisquer acordos judiciais ou extrajudiciais firmados no âmbito dos citados procedimentos, bem como informações detalhadas sobre as medidas adotadas em resposta a tais procedimentos.</w:t>
      </w:r>
    </w:p>
    <w:p w14:paraId="56F05318" w14:textId="77777777" w:rsidR="007E173A" w:rsidRPr="00287F59" w:rsidRDefault="007E173A" w:rsidP="007E173A">
      <w:pPr>
        <w:spacing w:before="180"/>
        <w:ind w:left="709"/>
        <w:jc w:val="both"/>
        <w:rPr>
          <w:rFonts w:ascii="Arial" w:hAnsi="Arial" w:cs="Arial"/>
          <w:sz w:val="24"/>
          <w:szCs w:val="24"/>
        </w:rPr>
      </w:pPr>
      <w:r w:rsidRPr="00287F59">
        <w:rPr>
          <w:rFonts w:ascii="Arial" w:hAnsi="Arial" w:cs="Arial"/>
          <w:sz w:val="24"/>
          <w:szCs w:val="24"/>
        </w:rPr>
        <w:t>Para os fins dessa obrigação, considera-se ciência do CLIENTE: (i) o recebimento de citação, intimação ou notificação, judicial ou extrajudicial, efetuadas por autoridade judicial ou administrativa, nacional ou estrangeira; (ii) a comunicação do fato pelo CLIENTE à autoridade competente; e (iii) a adoção de medida judicial ou extrajudicial pelo CLIENTE contra o infrator.</w:t>
      </w:r>
    </w:p>
    <w:p w14:paraId="5603B961" w14:textId="3DA3AFE4" w:rsidR="000F6A91" w:rsidRPr="00B82233" w:rsidRDefault="007E173A" w:rsidP="007E173A">
      <w:pPr>
        <w:spacing w:before="180"/>
        <w:ind w:left="709"/>
        <w:jc w:val="both"/>
        <w:rPr>
          <w:rFonts w:ascii="Arial" w:hAnsi="Arial" w:cs="Arial"/>
          <w:sz w:val="24"/>
          <w:szCs w:val="24"/>
        </w:rPr>
      </w:pPr>
      <w:r w:rsidRPr="00287F59">
        <w:rPr>
          <w:rFonts w:ascii="Arial" w:hAnsi="Arial" w:cs="Arial"/>
          <w:sz w:val="24"/>
          <w:szCs w:val="24"/>
        </w:rPr>
        <w:t xml:space="preserve">Para os fins dessa obrigação são considerados relevantes: (i) todos os processos administrativos sancionadores, ações civis públicas (inclusive de improbidade administrativa), populares ou coletivas, ações cíveis ou penais relativos a ilícitos praticados contra a administração pública, nacional ou estrangeira, </w:t>
      </w:r>
      <w:r w:rsidR="00C01B06" w:rsidRPr="00C01B06">
        <w:rPr>
          <w:rFonts w:ascii="Arial" w:hAnsi="Arial" w:cs="Arial"/>
          <w:sz w:val="24"/>
          <w:szCs w:val="24"/>
        </w:rPr>
        <w:t>contra o Estado Democrático de Direito,</w:t>
      </w:r>
      <w:r w:rsidR="00C01B06">
        <w:rPr>
          <w:rFonts w:ascii="Arial" w:hAnsi="Arial" w:cs="Arial"/>
          <w:sz w:val="24"/>
          <w:szCs w:val="24"/>
        </w:rPr>
        <w:t xml:space="preserve"> </w:t>
      </w:r>
      <w:r w:rsidRPr="00287F59">
        <w:rPr>
          <w:rFonts w:ascii="Arial" w:hAnsi="Arial" w:cs="Arial"/>
          <w:sz w:val="24"/>
          <w:szCs w:val="24"/>
        </w:rPr>
        <w:t>contra a ordem econômica ou tributária, o sistema financeiro, o mercado de capitais, de “lavagem” ou ocultação de bens, direitos e valores, terrorismo ou financiamento ao terrorismo, previstos na legislação nacional e/ou estrangeira aplicável, ou que importem em assédio, discriminação ou preconceito com base em atributos pessoais (tais como etnia, raça</w:t>
      </w:r>
      <w:r>
        <w:rPr>
          <w:rFonts w:ascii="Arial" w:hAnsi="Arial" w:cs="Arial"/>
          <w:sz w:val="24"/>
          <w:szCs w:val="24"/>
        </w:rPr>
        <w:t>,</w:t>
      </w:r>
      <w:r w:rsidRPr="00287F59">
        <w:rPr>
          <w:rFonts w:ascii="Arial" w:hAnsi="Arial" w:cs="Arial"/>
          <w:sz w:val="24"/>
          <w:szCs w:val="24"/>
        </w:rPr>
        <w:t xml:space="preserve"> cor, condição socioeconômica, situação familiar, nacionalidade, idade, sexo, orientação sexual, identidade de gênero, religião, crença, deficiência, condição genética ou de saúde e posicionamento ideológico ou político), exploração irregular, ilegal ou criminosa do trabalho infantil ou prática relacionada ao trabalho em condições análogas à escravidão, ao tráfico de pessoas, à exploração sexual ou ao proveito criminoso da prostituição, assédio moral ou sexual, violência contra a mulher ou crimes contra o meio ambiente; (ii) todos os processos administrativos sancionadores, ações civis </w:t>
      </w:r>
      <w:r w:rsidRPr="00287F59">
        <w:rPr>
          <w:rFonts w:ascii="Arial" w:hAnsi="Arial" w:cs="Arial"/>
          <w:sz w:val="24"/>
          <w:szCs w:val="24"/>
        </w:rPr>
        <w:lastRenderedPageBreak/>
        <w:t>públicas (inclusive de improbidade administrativa), populares ou coletivas, ações cíveis ou penais que representem risco à reputação do CLIENTE; (iii) os procedimentos ou processos em face de empregados, mandatários ou representantes do CLIENTE, em que esta possa ser responsabilizada ou que representem risco a sua reputação; (iv) os procedimentos ou processos em face de fornecedores de produto ou serviço essencial para a execução do projeto que representem risco à reputação do CLIENTE e/ou à execução do projeto.</w:t>
      </w:r>
      <w:r>
        <w:rPr>
          <w:rFonts w:ascii="Arial" w:hAnsi="Arial" w:cs="Arial"/>
          <w:sz w:val="24"/>
          <w:szCs w:val="24"/>
        </w:rPr>
        <w:t xml:space="preserve"> </w:t>
      </w:r>
      <w:r>
        <w:rPr>
          <w:rFonts w:ascii="Arial" w:hAnsi="Arial" w:cs="Arial"/>
          <w:b/>
          <w:i/>
          <w:color w:val="000099"/>
          <w:szCs w:val="24"/>
        </w:rPr>
        <w:t>(Alterado pela</w:t>
      </w:r>
      <w:r w:rsidR="00C01B06">
        <w:rPr>
          <w:rFonts w:ascii="Arial" w:hAnsi="Arial" w:cs="Arial"/>
          <w:b/>
          <w:i/>
          <w:color w:val="000099"/>
          <w:szCs w:val="24"/>
        </w:rPr>
        <w:t>s</w:t>
      </w:r>
      <w:r>
        <w:rPr>
          <w:rFonts w:ascii="Arial" w:hAnsi="Arial" w:cs="Arial"/>
          <w:b/>
          <w:i/>
          <w:color w:val="000099"/>
          <w:szCs w:val="24"/>
        </w:rPr>
        <w:t xml:space="preserve"> Circular</w:t>
      </w:r>
      <w:r w:rsidR="00C01B06">
        <w:rPr>
          <w:rFonts w:ascii="Arial" w:hAnsi="Arial" w:cs="Arial"/>
          <w:b/>
          <w:i/>
          <w:color w:val="000099"/>
          <w:szCs w:val="24"/>
        </w:rPr>
        <w:t>es</w:t>
      </w:r>
      <w:r>
        <w:rPr>
          <w:rFonts w:ascii="Arial" w:hAnsi="Arial" w:cs="Arial"/>
          <w:b/>
          <w:i/>
          <w:color w:val="000099"/>
          <w:szCs w:val="24"/>
        </w:rPr>
        <w:t xml:space="preserve"> </w:t>
      </w:r>
      <w:r w:rsidRPr="006B6932">
        <w:rPr>
          <w:rFonts w:ascii="Arial" w:hAnsi="Arial" w:cs="Arial"/>
          <w:b/>
          <w:i/>
          <w:color w:val="000099"/>
          <w:szCs w:val="24"/>
        </w:rPr>
        <w:t xml:space="preserve">SUP/ADIG Nº </w:t>
      </w:r>
      <w:r>
        <w:rPr>
          <w:rFonts w:ascii="Arial" w:hAnsi="Arial" w:cs="Arial"/>
          <w:b/>
          <w:i/>
          <w:color w:val="000099"/>
          <w:szCs w:val="24"/>
        </w:rPr>
        <w:t>28</w:t>
      </w:r>
      <w:r w:rsidRPr="006B6932">
        <w:rPr>
          <w:rFonts w:ascii="Arial" w:hAnsi="Arial" w:cs="Arial"/>
          <w:b/>
          <w:i/>
          <w:color w:val="000099"/>
          <w:szCs w:val="24"/>
        </w:rPr>
        <w:t>/202</w:t>
      </w:r>
      <w:r>
        <w:rPr>
          <w:rFonts w:ascii="Arial" w:hAnsi="Arial" w:cs="Arial"/>
          <w:b/>
          <w:i/>
          <w:color w:val="000099"/>
          <w:szCs w:val="24"/>
        </w:rPr>
        <w:t>4</w:t>
      </w:r>
      <w:r w:rsidRPr="006B6932">
        <w:rPr>
          <w:rFonts w:ascii="Arial" w:hAnsi="Arial" w:cs="Arial"/>
          <w:b/>
          <w:i/>
          <w:color w:val="000099"/>
          <w:szCs w:val="24"/>
        </w:rPr>
        <w:t>-BNDES</w:t>
      </w:r>
      <w:r>
        <w:rPr>
          <w:rFonts w:ascii="Arial" w:hAnsi="Arial" w:cs="Arial"/>
          <w:b/>
          <w:i/>
          <w:color w:val="000099"/>
          <w:szCs w:val="24"/>
        </w:rPr>
        <w:t>, de 22.05.2024</w:t>
      </w:r>
      <w:r w:rsidR="00C01B06">
        <w:rPr>
          <w:rFonts w:ascii="Arial" w:hAnsi="Arial" w:cs="Arial"/>
          <w:b/>
          <w:i/>
          <w:color w:val="000099"/>
          <w:szCs w:val="24"/>
        </w:rPr>
        <w:t xml:space="preserve"> e </w:t>
      </w:r>
      <w:r w:rsidR="00C01B06" w:rsidRPr="006B6932">
        <w:rPr>
          <w:rFonts w:ascii="Arial" w:hAnsi="Arial" w:cs="Arial"/>
          <w:b/>
          <w:i/>
          <w:color w:val="000099"/>
          <w:szCs w:val="24"/>
        </w:rPr>
        <w:t xml:space="preserve">SUP/ADIG Nº </w:t>
      </w:r>
      <w:r w:rsidR="00C01B06">
        <w:rPr>
          <w:rFonts w:ascii="Arial" w:hAnsi="Arial" w:cs="Arial"/>
          <w:b/>
          <w:i/>
          <w:color w:val="000099"/>
          <w:szCs w:val="24"/>
        </w:rPr>
        <w:t>66</w:t>
      </w:r>
      <w:r w:rsidR="00C01B06" w:rsidRPr="006B6932">
        <w:rPr>
          <w:rFonts w:ascii="Arial" w:hAnsi="Arial" w:cs="Arial"/>
          <w:b/>
          <w:i/>
          <w:color w:val="000099"/>
          <w:szCs w:val="24"/>
        </w:rPr>
        <w:t>/202</w:t>
      </w:r>
      <w:r w:rsidR="00C01B06">
        <w:rPr>
          <w:rFonts w:ascii="Arial" w:hAnsi="Arial" w:cs="Arial"/>
          <w:b/>
          <w:i/>
          <w:color w:val="000099"/>
          <w:szCs w:val="24"/>
        </w:rPr>
        <w:t>4</w:t>
      </w:r>
      <w:r w:rsidR="00C01B06" w:rsidRPr="006B6932">
        <w:rPr>
          <w:rFonts w:ascii="Arial" w:hAnsi="Arial" w:cs="Arial"/>
          <w:b/>
          <w:i/>
          <w:color w:val="000099"/>
          <w:szCs w:val="24"/>
        </w:rPr>
        <w:t>-BNDES</w:t>
      </w:r>
      <w:r w:rsidR="00C01B06">
        <w:rPr>
          <w:rFonts w:ascii="Arial" w:hAnsi="Arial" w:cs="Arial"/>
          <w:b/>
          <w:i/>
          <w:color w:val="000099"/>
          <w:szCs w:val="24"/>
        </w:rPr>
        <w:t>, de 29.07.2024</w:t>
      </w:r>
      <w:r>
        <w:rPr>
          <w:rFonts w:ascii="Arial" w:hAnsi="Arial" w:cs="Arial"/>
          <w:b/>
          <w:i/>
          <w:color w:val="000099"/>
          <w:szCs w:val="24"/>
        </w:rPr>
        <w:t>)</w:t>
      </w:r>
    </w:p>
    <w:p w14:paraId="0B6FCD2B" w14:textId="2094C99B" w:rsidR="0030007B" w:rsidRDefault="0030007B" w:rsidP="00C026EF">
      <w:pPr>
        <w:numPr>
          <w:ilvl w:val="0"/>
          <w:numId w:val="4"/>
        </w:numPr>
        <w:tabs>
          <w:tab w:val="clear" w:pos="0"/>
          <w:tab w:val="num" w:pos="709"/>
        </w:tabs>
        <w:spacing w:before="180"/>
        <w:ind w:left="709" w:hanging="709"/>
        <w:jc w:val="both"/>
        <w:rPr>
          <w:rFonts w:ascii="Arial" w:hAnsi="Arial" w:cs="Arial"/>
          <w:sz w:val="24"/>
          <w:szCs w:val="24"/>
        </w:rPr>
      </w:pPr>
      <w:r>
        <w:rPr>
          <w:rFonts w:ascii="Arial" w:hAnsi="Arial" w:cs="Arial"/>
          <w:sz w:val="24"/>
          <w:szCs w:val="24"/>
        </w:rPr>
        <w:t xml:space="preserve">não utilizar, no cumprimento da FINALIDADE, os recursos do empréstimo/financiamento em atividade realizada em qualquer país ou território que esteja sujeito a sanções econômicas ou financeiras, embargos ou medidas restritivas em vigor, administradas ou aplicadas pelo Conselho de Segurança das Nações Unidas, pelo Estado brasileiro ou por autoridade que exerça jurisdição sobre </w:t>
      </w:r>
      <w:r w:rsidR="0080070D">
        <w:rPr>
          <w:rFonts w:ascii="Arial" w:hAnsi="Arial" w:cs="Arial"/>
          <w:sz w:val="24"/>
          <w:szCs w:val="24"/>
        </w:rPr>
        <w:t>o</w:t>
      </w:r>
      <w:r>
        <w:rPr>
          <w:rFonts w:ascii="Arial" w:hAnsi="Arial" w:cs="Arial"/>
          <w:sz w:val="24"/>
          <w:szCs w:val="24"/>
        </w:rPr>
        <w:t xml:space="preserve"> </w:t>
      </w:r>
      <w:r w:rsidR="004C5446">
        <w:rPr>
          <w:rFonts w:ascii="Arial" w:hAnsi="Arial" w:cs="Arial"/>
          <w:sz w:val="24"/>
          <w:szCs w:val="24"/>
        </w:rPr>
        <w:t>CLIENTE</w:t>
      </w:r>
      <w:r>
        <w:rPr>
          <w:rFonts w:ascii="Arial" w:hAnsi="Arial" w:cs="Arial"/>
          <w:sz w:val="24"/>
          <w:szCs w:val="24"/>
        </w:rPr>
        <w:t>, ou, que de qualquer outra forma, resulte em violação por qualquer pessoa desses embargos.</w:t>
      </w:r>
    </w:p>
    <w:p w14:paraId="22A032B3" w14:textId="68D811E0" w:rsidR="0030007B" w:rsidRDefault="0030007B" w:rsidP="00B82233">
      <w:pPr>
        <w:spacing w:before="180"/>
        <w:ind w:left="709"/>
        <w:jc w:val="both"/>
        <w:rPr>
          <w:rFonts w:ascii="Arial" w:hAnsi="Arial" w:cs="Arial"/>
          <w:sz w:val="24"/>
          <w:szCs w:val="24"/>
        </w:rPr>
      </w:pPr>
      <w:r>
        <w:rPr>
          <w:rFonts w:ascii="Arial" w:hAnsi="Arial" w:cs="Arial"/>
          <w:sz w:val="24"/>
          <w:szCs w:val="24"/>
        </w:rPr>
        <w:t xml:space="preserve">A informação acerca da lista de pessoas e entidades sujeitas a embargos administrados ou executados pelo Conselho de Segurança das Nações Unidas pode ser </w:t>
      </w:r>
      <w:r w:rsidRPr="001F65A2">
        <w:rPr>
          <w:rFonts w:ascii="Arial" w:hAnsi="Arial" w:cs="Arial"/>
          <w:sz w:val="24"/>
          <w:szCs w:val="24"/>
        </w:rPr>
        <w:t>encontrada no endereço eletr</w:t>
      </w:r>
      <w:r w:rsidRPr="0030007B">
        <w:rPr>
          <w:rFonts w:ascii="Arial" w:hAnsi="Arial" w:cs="Arial"/>
          <w:sz w:val="24"/>
          <w:szCs w:val="24"/>
        </w:rPr>
        <w:t xml:space="preserve">ônico </w:t>
      </w:r>
      <w:hyperlink r:id="rId24" w:history="1">
        <w:r w:rsidRPr="00B82233">
          <w:rPr>
            <w:rFonts w:ascii="Arial" w:hAnsi="Arial" w:cs="Arial"/>
            <w:b/>
            <w:color w:val="000000"/>
            <w:sz w:val="24"/>
            <w:szCs w:val="24"/>
          </w:rPr>
          <w:t>https://www.un.org/sc/suborg/en/sanctions/un-sc-consolidated-list</w:t>
        </w:r>
      </w:hyperlink>
      <w:r w:rsidRPr="00B82233">
        <w:rPr>
          <w:rFonts w:ascii="Arial" w:hAnsi="Arial" w:cs="Arial"/>
          <w:color w:val="000000"/>
          <w:sz w:val="24"/>
          <w:szCs w:val="24"/>
        </w:rPr>
        <w:t>.</w:t>
      </w:r>
    </w:p>
    <w:p w14:paraId="6A542AB9" w14:textId="2CF8CF64" w:rsidR="00A5031F" w:rsidRPr="002E7A6E" w:rsidRDefault="00A5031F" w:rsidP="00C026EF">
      <w:pPr>
        <w:numPr>
          <w:ilvl w:val="0"/>
          <w:numId w:val="4"/>
        </w:numPr>
        <w:tabs>
          <w:tab w:val="clear" w:pos="0"/>
          <w:tab w:val="num" w:pos="709"/>
        </w:tabs>
        <w:spacing w:before="180"/>
        <w:ind w:left="709" w:hanging="709"/>
        <w:jc w:val="both"/>
        <w:rPr>
          <w:rFonts w:ascii="Arial" w:hAnsi="Arial" w:cs="Arial"/>
          <w:sz w:val="24"/>
          <w:szCs w:val="24"/>
        </w:rPr>
      </w:pPr>
      <w:r w:rsidRPr="000A3BE3">
        <w:rPr>
          <w:rFonts w:ascii="Arial" w:hAnsi="Arial" w:cs="Arial"/>
          <w:b/>
          <w:strike/>
          <w:sz w:val="24"/>
          <w:szCs w:val="24"/>
        </w:rPr>
        <w:t>na hipótese de o financiamento destinar-se a atividade agrícola do setor de açúcar e álcool</w:t>
      </w:r>
      <w:r w:rsidR="003D4AD6" w:rsidRPr="000A3BE3">
        <w:rPr>
          <w:rFonts w:ascii="Arial" w:hAnsi="Arial" w:cs="Arial"/>
          <w:strike/>
          <w:sz w:val="24"/>
          <w:szCs w:val="24"/>
        </w:rPr>
        <w:t>:</w:t>
      </w:r>
      <w:r w:rsidRPr="000A3BE3">
        <w:rPr>
          <w:rFonts w:ascii="Arial" w:hAnsi="Arial" w:cs="Arial"/>
          <w:strike/>
          <w:sz w:val="24"/>
          <w:szCs w:val="24"/>
        </w:rPr>
        <w:t xml:space="preserve"> obriga-se </w:t>
      </w:r>
      <w:r w:rsidR="0080070D" w:rsidRPr="000A3BE3">
        <w:rPr>
          <w:rFonts w:ascii="Arial" w:hAnsi="Arial" w:cs="Arial"/>
          <w:strike/>
          <w:sz w:val="24"/>
          <w:szCs w:val="24"/>
        </w:rPr>
        <w:t>o</w:t>
      </w:r>
      <w:r w:rsidRPr="000A3BE3">
        <w:rPr>
          <w:rFonts w:ascii="Arial" w:hAnsi="Arial" w:cs="Arial"/>
          <w:strike/>
          <w:sz w:val="24"/>
          <w:szCs w:val="24"/>
        </w:rPr>
        <w:t xml:space="preserve"> </w:t>
      </w:r>
      <w:r w:rsidR="004C5446" w:rsidRPr="000A3BE3">
        <w:rPr>
          <w:rFonts w:ascii="Arial" w:hAnsi="Arial" w:cs="Arial"/>
          <w:strike/>
          <w:sz w:val="24"/>
          <w:szCs w:val="24"/>
        </w:rPr>
        <w:t>CLIENTE</w:t>
      </w:r>
      <w:r w:rsidRPr="000A3BE3">
        <w:rPr>
          <w:rFonts w:ascii="Arial" w:hAnsi="Arial" w:cs="Arial"/>
          <w:strike/>
          <w:sz w:val="24"/>
          <w:szCs w:val="24"/>
        </w:rPr>
        <w:t xml:space="preserve"> a manter cadastro atualizado de todas as propriedades próprias, arrendadas e objeto de parceria agrícola, nas quais </w:t>
      </w:r>
      <w:r w:rsidR="0080070D" w:rsidRPr="000A3BE3">
        <w:rPr>
          <w:rFonts w:ascii="Arial" w:hAnsi="Arial" w:cs="Arial"/>
          <w:strike/>
          <w:sz w:val="24"/>
          <w:szCs w:val="24"/>
        </w:rPr>
        <w:t>o</w:t>
      </w:r>
      <w:r w:rsidRPr="000A3BE3">
        <w:rPr>
          <w:rFonts w:ascii="Arial" w:hAnsi="Arial" w:cs="Arial"/>
          <w:strike/>
          <w:sz w:val="24"/>
          <w:szCs w:val="24"/>
        </w:rPr>
        <w:t xml:space="preserve"> </w:t>
      </w:r>
      <w:r w:rsidR="004C5446" w:rsidRPr="000A3BE3">
        <w:rPr>
          <w:rFonts w:ascii="Arial" w:hAnsi="Arial" w:cs="Arial"/>
          <w:strike/>
          <w:sz w:val="24"/>
          <w:szCs w:val="24"/>
        </w:rPr>
        <w:t>CLIENTE</w:t>
      </w:r>
      <w:r w:rsidRPr="000A3BE3">
        <w:rPr>
          <w:rFonts w:ascii="Arial" w:hAnsi="Arial" w:cs="Arial"/>
          <w:strike/>
          <w:sz w:val="24"/>
          <w:szCs w:val="24"/>
        </w:rPr>
        <w:t xml:space="preserve"> irá realizar o projeto, contemplando as seguintes informações: (i) nome do imóvel; (ii) município e unidade da federação onde se situa a propriedade rural; (iii) ponto georreferenciado da propriedade rural; (iv) número de inscrição da propriedade rural no Sistema Nacional de Cadastro Rural; e (v) número da licença ambiental ou documento equivalente, ou ainda, a comprovação da dispensa de licenciamento pelo órgão ambiental competente</w:t>
      </w:r>
      <w:r w:rsidR="000A3BE3">
        <w:rPr>
          <w:rFonts w:ascii="Arial" w:hAnsi="Arial" w:cs="Arial"/>
          <w:sz w:val="24"/>
          <w:szCs w:val="24"/>
        </w:rPr>
        <w:t xml:space="preserve"> </w:t>
      </w:r>
      <w:r w:rsidR="000A3BE3">
        <w:rPr>
          <w:rFonts w:ascii="Arial" w:hAnsi="Arial" w:cs="Arial"/>
          <w:b/>
          <w:bCs/>
          <w:sz w:val="24"/>
          <w:szCs w:val="24"/>
        </w:rPr>
        <w:br/>
      </w:r>
      <w:r w:rsidR="000A3BE3" w:rsidRPr="000A3BE3">
        <w:rPr>
          <w:rFonts w:ascii="Arial" w:hAnsi="Arial" w:cs="Arial"/>
          <w:b/>
          <w:bCs/>
          <w:sz w:val="24"/>
          <w:szCs w:val="24"/>
        </w:rPr>
        <w:t>na hipótese de o financiamento destinar-se a atividade agrícola do setor de açúcar e álcool</w:t>
      </w:r>
      <w:r w:rsidR="000A3BE3" w:rsidRPr="000A3BE3">
        <w:rPr>
          <w:rFonts w:ascii="Arial" w:hAnsi="Arial" w:cs="Arial"/>
          <w:sz w:val="24"/>
          <w:szCs w:val="24"/>
        </w:rPr>
        <w:t>: em caso de financiamento a projeto de investimento, obriga-se o CLIENTE a manter cadastro atualizado de todas as propriedades próprias, arrendadas e objeto de parceria, nas quais o CLIENTE irá realizar o projeto financiado, contemplando as seguintes informações: (i) nome do imóvel; (ii) Município e Unidade da Federação onde se situa a propriedade rural; (iii) ponto georreferenciado da propriedade rural; (iv) Cadastro Ambiental Rural (CAR); (v) número de inscrição da propriedade rural no Sistema Nacional de Cadastro Rural (SNCR); e (vi) número da licença ambiental ou documento equivalente, ou ainda, a comprovação da dispensa de licenciamento pelo órgão ambiental competente</w:t>
      </w:r>
      <w:r w:rsidRPr="002E7A6E">
        <w:rPr>
          <w:rFonts w:ascii="Arial" w:hAnsi="Arial" w:cs="Arial"/>
          <w:sz w:val="24"/>
          <w:szCs w:val="24"/>
        </w:rPr>
        <w:t>.</w:t>
      </w:r>
      <w:r w:rsidR="000A3BE3">
        <w:rPr>
          <w:rFonts w:ascii="Arial" w:hAnsi="Arial" w:cs="Arial"/>
          <w:sz w:val="24"/>
          <w:szCs w:val="24"/>
        </w:rPr>
        <w:t xml:space="preserve"> </w:t>
      </w:r>
      <w:r w:rsidR="000A3BE3" w:rsidRPr="000A3BE3">
        <w:rPr>
          <w:rFonts w:ascii="Arial" w:hAnsi="Arial" w:cs="Arial"/>
          <w:b/>
          <w:bCs/>
          <w:i/>
          <w:color w:val="000099"/>
        </w:rPr>
        <w:t xml:space="preserve">(Alterado pela Circular SUP/ADIG </w:t>
      </w:r>
      <w:r w:rsidR="000A3BE3" w:rsidRPr="000A3BE3">
        <w:rPr>
          <w:rFonts w:ascii="Arial" w:hAnsi="Arial" w:cs="Arial"/>
          <w:b/>
          <w:i/>
          <w:color w:val="000099"/>
        </w:rPr>
        <w:t>Nº 64/2022-BNDES, de 13.12.2022)</w:t>
      </w:r>
    </w:p>
    <w:p w14:paraId="3DE9B613" w14:textId="77777777" w:rsidR="00356386" w:rsidRPr="00356386" w:rsidRDefault="006338CD" w:rsidP="00C026EF">
      <w:pPr>
        <w:numPr>
          <w:ilvl w:val="0"/>
          <w:numId w:val="4"/>
        </w:numPr>
        <w:tabs>
          <w:tab w:val="clear" w:pos="0"/>
          <w:tab w:val="num" w:pos="709"/>
        </w:tabs>
        <w:spacing w:before="180"/>
        <w:ind w:left="709" w:hanging="709"/>
        <w:jc w:val="both"/>
        <w:rPr>
          <w:rFonts w:ascii="Arial" w:hAnsi="Arial" w:cs="Arial"/>
          <w:sz w:val="24"/>
          <w:szCs w:val="24"/>
        </w:rPr>
      </w:pPr>
      <w:r w:rsidRPr="00356386">
        <w:rPr>
          <w:rFonts w:ascii="Arial" w:hAnsi="Arial" w:cs="Arial"/>
          <w:b/>
          <w:strike/>
          <w:sz w:val="24"/>
          <w:szCs w:val="24"/>
        </w:rPr>
        <w:t>na hipótese de o financiamento destinar-se a atividade agroindustrial do setor de açúcar e álcool</w:t>
      </w:r>
      <w:r w:rsidR="003D4AD6" w:rsidRPr="00356386">
        <w:rPr>
          <w:rFonts w:ascii="Arial" w:hAnsi="Arial" w:cs="Arial"/>
          <w:strike/>
          <w:sz w:val="24"/>
          <w:szCs w:val="24"/>
        </w:rPr>
        <w:t>:</w:t>
      </w:r>
      <w:r w:rsidRPr="00356386">
        <w:rPr>
          <w:rFonts w:ascii="Arial" w:hAnsi="Arial" w:cs="Arial"/>
          <w:strike/>
          <w:sz w:val="24"/>
          <w:szCs w:val="24"/>
        </w:rPr>
        <w:t xml:space="preserve"> obriga-se </w:t>
      </w:r>
      <w:r w:rsidR="0080070D" w:rsidRPr="00356386">
        <w:rPr>
          <w:rFonts w:ascii="Arial" w:hAnsi="Arial" w:cs="Arial"/>
          <w:strike/>
          <w:sz w:val="24"/>
          <w:szCs w:val="24"/>
        </w:rPr>
        <w:t>o</w:t>
      </w:r>
      <w:r w:rsidRPr="00356386">
        <w:rPr>
          <w:rFonts w:ascii="Arial" w:hAnsi="Arial" w:cs="Arial"/>
          <w:strike/>
          <w:sz w:val="24"/>
          <w:szCs w:val="24"/>
        </w:rPr>
        <w:t xml:space="preserve"> </w:t>
      </w:r>
      <w:r w:rsidR="004C5446" w:rsidRPr="00356386">
        <w:rPr>
          <w:rFonts w:ascii="Arial" w:hAnsi="Arial" w:cs="Arial"/>
          <w:strike/>
          <w:sz w:val="24"/>
          <w:szCs w:val="24"/>
        </w:rPr>
        <w:t>CLIENTE</w:t>
      </w:r>
      <w:r w:rsidRPr="00356386">
        <w:rPr>
          <w:rFonts w:ascii="Arial" w:hAnsi="Arial" w:cs="Arial"/>
          <w:strike/>
          <w:sz w:val="24"/>
          <w:szCs w:val="24"/>
        </w:rPr>
        <w:t xml:space="preserve"> a: 1) manter cadastro atualizado de todas as propriedades próprias, arrendadas e objeto de parceria agrícola, nas quais </w:t>
      </w:r>
      <w:r w:rsidR="0080070D" w:rsidRPr="00356386">
        <w:rPr>
          <w:rFonts w:ascii="Arial" w:hAnsi="Arial" w:cs="Arial"/>
          <w:strike/>
          <w:sz w:val="24"/>
          <w:szCs w:val="24"/>
        </w:rPr>
        <w:t>o</w:t>
      </w:r>
      <w:r w:rsidRPr="00356386">
        <w:rPr>
          <w:rFonts w:ascii="Arial" w:hAnsi="Arial" w:cs="Arial"/>
          <w:strike/>
          <w:sz w:val="24"/>
          <w:szCs w:val="24"/>
        </w:rPr>
        <w:t xml:space="preserve"> </w:t>
      </w:r>
      <w:r w:rsidR="004C5446" w:rsidRPr="00356386">
        <w:rPr>
          <w:rFonts w:ascii="Arial" w:hAnsi="Arial" w:cs="Arial"/>
          <w:strike/>
          <w:sz w:val="24"/>
          <w:szCs w:val="24"/>
        </w:rPr>
        <w:t>CLIENTE</w:t>
      </w:r>
      <w:r w:rsidRPr="00356386">
        <w:rPr>
          <w:rFonts w:ascii="Arial" w:hAnsi="Arial" w:cs="Arial"/>
          <w:strike/>
          <w:sz w:val="24"/>
          <w:szCs w:val="24"/>
        </w:rPr>
        <w:t xml:space="preserve"> irá realizar o projeto, contemplando as seguintes informações: (i) nome do imóvel; (ii) município e unidade da federação onde se situa a propriedade rural; (iii) ponto georreferenciado da propriedade rural; (iv) número de inscrição da propriedade rural no Sistema Nacional de Cadastro Rural; e (v) número da licença ambiental ou documento equivalente, ou ainda, a comprovação da dispensa de </w:t>
      </w:r>
      <w:r w:rsidRPr="00356386">
        <w:rPr>
          <w:rFonts w:ascii="Arial" w:hAnsi="Arial" w:cs="Arial"/>
          <w:strike/>
          <w:sz w:val="24"/>
          <w:szCs w:val="24"/>
        </w:rPr>
        <w:lastRenderedPageBreak/>
        <w:t>licenciamento pelo órgão ambiental competente</w:t>
      </w:r>
      <w:r w:rsidR="00BE194C" w:rsidRPr="00356386">
        <w:rPr>
          <w:rFonts w:ascii="Arial" w:hAnsi="Arial" w:cs="Arial"/>
          <w:strike/>
          <w:sz w:val="24"/>
          <w:szCs w:val="24"/>
        </w:rPr>
        <w:t>; e 2) implementar e manter à disposição da INSTITUIÇÃO FINANCEIRA CREDENCIADA cadastro, com pelo menos um registro, e a sua atualização de modo progressivo, com a inserção das datas de entrada dos novos registros: (i) das terras exploradas diretamente pel</w:t>
      </w:r>
      <w:r w:rsidR="0080070D" w:rsidRPr="00356386">
        <w:rPr>
          <w:rFonts w:ascii="Arial" w:hAnsi="Arial" w:cs="Arial"/>
          <w:strike/>
          <w:sz w:val="24"/>
          <w:szCs w:val="24"/>
        </w:rPr>
        <w:t>o</w:t>
      </w:r>
      <w:r w:rsidR="00BE194C" w:rsidRPr="00356386">
        <w:rPr>
          <w:rFonts w:ascii="Arial" w:hAnsi="Arial" w:cs="Arial"/>
          <w:strike/>
          <w:sz w:val="24"/>
          <w:szCs w:val="24"/>
        </w:rPr>
        <w:t xml:space="preserve"> </w:t>
      </w:r>
      <w:r w:rsidR="004C5446" w:rsidRPr="00356386">
        <w:rPr>
          <w:rFonts w:ascii="Arial" w:hAnsi="Arial" w:cs="Arial"/>
          <w:strike/>
          <w:sz w:val="24"/>
          <w:szCs w:val="24"/>
        </w:rPr>
        <w:t>CLIENTE</w:t>
      </w:r>
      <w:r w:rsidR="00BE194C" w:rsidRPr="00356386">
        <w:rPr>
          <w:rFonts w:ascii="Arial" w:hAnsi="Arial" w:cs="Arial"/>
          <w:strike/>
          <w:sz w:val="24"/>
          <w:szCs w:val="24"/>
        </w:rPr>
        <w:t xml:space="preserve"> em que o plantio de cana-de-açúcar não esteja financiado com recursos do Sistema BNDES, mas que será utilizada na usina apoiada no âmbito do projeto, contendo as mesmas informações descritas no item 1; (ii) dos fornecedores da cana-de-açúcar a ser moída na usina apoiada no âmbito do projeto, contemplando as seguintes informações: a) nome ou razão social do fornecedor; b) CPF ou CNPJ do fornecedor; c) nome do imóvel; d) município e unidade da federação onde se situa a propriedade rural; e) ponto georreferenciado; f) número de inscrição da propriedade rural no Sistema Nacional de Cadastro Rural; e g) número da licença ambiental ou documento equivalente, ou ainda, a comprovação da dispensa de licenciamento pelo órgão ambiental competente</w:t>
      </w:r>
      <w:r w:rsidR="00356386" w:rsidRPr="00356386">
        <w:rPr>
          <w:b/>
          <w:bCs/>
        </w:rPr>
        <w:t xml:space="preserve"> </w:t>
      </w:r>
      <w:r w:rsidR="00356386">
        <w:rPr>
          <w:b/>
          <w:bCs/>
        </w:rPr>
        <w:br/>
      </w:r>
      <w:r w:rsidR="00356386" w:rsidRPr="00356386">
        <w:rPr>
          <w:rFonts w:ascii="Arial" w:hAnsi="Arial" w:cs="Arial"/>
          <w:b/>
          <w:bCs/>
          <w:sz w:val="24"/>
          <w:szCs w:val="24"/>
        </w:rPr>
        <w:t>na hipótese de o financiamento destinar-se a atividade agroindustrial do setor de açúcar e álcool</w:t>
      </w:r>
      <w:r w:rsidR="00356386" w:rsidRPr="00356386">
        <w:rPr>
          <w:rFonts w:ascii="Arial" w:hAnsi="Arial" w:cs="Arial"/>
          <w:sz w:val="24"/>
          <w:szCs w:val="24"/>
        </w:rPr>
        <w:t>: em caso de financiamento a projeto de investimento, obriga-se o CLIENTE a:</w:t>
      </w:r>
    </w:p>
    <w:p w14:paraId="33FFE336" w14:textId="77777777" w:rsidR="00356386" w:rsidRPr="00356386" w:rsidRDefault="00356386" w:rsidP="00356386">
      <w:pPr>
        <w:pStyle w:val="BNDES"/>
        <w:numPr>
          <w:ilvl w:val="0"/>
          <w:numId w:val="57"/>
        </w:numPr>
        <w:tabs>
          <w:tab w:val="left" w:pos="1134"/>
        </w:tabs>
        <w:spacing w:before="120" w:after="120"/>
        <w:ind w:left="1134" w:hanging="425"/>
        <w:rPr>
          <w:rFonts w:cs="Arial"/>
          <w:szCs w:val="24"/>
        </w:rPr>
      </w:pPr>
      <w:r w:rsidRPr="00356386">
        <w:rPr>
          <w:rFonts w:cs="Arial"/>
          <w:szCs w:val="24"/>
        </w:rPr>
        <w:t>manter cadastro atualizado de todas as propriedades próprias, arrendadas e objeto de parceria, nas quais o CLIENTE irá realizar o projeto financiado, contemplando as seguintes informações: (i) nome do imóvel; (ii) Município e Unidade da Federação onde se situa a propriedade rural; (iii) ponto georreferenciado da propriedade rural; (iv) Cadastro Ambiental Rural (CAR); (v) número de inscrição da propriedade rural no Sistema Nacional de Cadastro Rural (SNCR); e (vi) número da licença ambiental ou documento equivalente, ou ainda, a comprovação da dispensa de licenciamento pelo órgão ambiental competente; e</w:t>
      </w:r>
    </w:p>
    <w:p w14:paraId="7ABC61B6" w14:textId="77777777" w:rsidR="00356386" w:rsidRPr="00356386" w:rsidRDefault="00356386" w:rsidP="00356386">
      <w:pPr>
        <w:pStyle w:val="BNDES"/>
        <w:numPr>
          <w:ilvl w:val="0"/>
          <w:numId w:val="57"/>
        </w:numPr>
        <w:tabs>
          <w:tab w:val="left" w:pos="1134"/>
        </w:tabs>
        <w:spacing w:before="120" w:after="120"/>
        <w:ind w:left="1134" w:hanging="425"/>
        <w:rPr>
          <w:rFonts w:cs="Arial"/>
          <w:szCs w:val="24"/>
        </w:rPr>
      </w:pPr>
      <w:r w:rsidRPr="00356386">
        <w:rPr>
          <w:rFonts w:cs="Arial"/>
          <w:szCs w:val="24"/>
        </w:rPr>
        <w:t>implementar cadastro, até a data-base da contratação, com pelo menos 1 (um) registro, devendo atualizá-lo, de modo progressivo, com a inserção das datas de entrada dos novos registros, bem como mantê-lo em guarda própria à disposição da INSTITUIÇÃO FINANCEIRA CREDENCIADA e do BNDES, quando por estes solicitado, durante a vigência do financiamento:</w:t>
      </w:r>
    </w:p>
    <w:p w14:paraId="27FD6DD1" w14:textId="77777777" w:rsidR="00356386" w:rsidRPr="00356386" w:rsidRDefault="00356386" w:rsidP="00356386">
      <w:pPr>
        <w:pStyle w:val="BNDES"/>
        <w:numPr>
          <w:ilvl w:val="0"/>
          <w:numId w:val="58"/>
        </w:numPr>
        <w:tabs>
          <w:tab w:val="left" w:pos="1560"/>
        </w:tabs>
        <w:spacing w:before="120" w:after="120"/>
        <w:ind w:left="1560" w:hanging="426"/>
        <w:rPr>
          <w:rFonts w:cs="Arial"/>
          <w:szCs w:val="24"/>
        </w:rPr>
      </w:pPr>
      <w:r w:rsidRPr="00356386">
        <w:rPr>
          <w:rFonts w:cs="Arial"/>
          <w:szCs w:val="24"/>
        </w:rPr>
        <w:t>das terras exploradas diretamente pelo CLIENTE em que o plantio de cana-de-açúcar não esteja financiado com recursos do Sistema BNDES, porém, que forneçam cana-de-açúcar a ser moída na usina apoiada no âmbito do projeto, contendo as mesmas informações descritas no item 1; e</w:t>
      </w:r>
    </w:p>
    <w:p w14:paraId="12F9DF6A" w14:textId="6C34B84F" w:rsidR="009051BE" w:rsidRDefault="00356386" w:rsidP="00356386">
      <w:pPr>
        <w:pStyle w:val="BNDES"/>
        <w:numPr>
          <w:ilvl w:val="0"/>
          <w:numId w:val="58"/>
        </w:numPr>
        <w:tabs>
          <w:tab w:val="num" w:pos="709"/>
          <w:tab w:val="left" w:pos="1560"/>
        </w:tabs>
        <w:spacing w:before="120" w:after="120"/>
        <w:ind w:left="1560" w:hanging="426"/>
        <w:rPr>
          <w:rFonts w:cs="Arial"/>
          <w:szCs w:val="24"/>
        </w:rPr>
      </w:pPr>
      <w:r w:rsidRPr="00356386">
        <w:rPr>
          <w:rFonts w:cs="Arial"/>
          <w:szCs w:val="24"/>
        </w:rPr>
        <w:t>dos fornecedores da cana-de-açúcar a ser moída na usina apoiada no âmbito do projeto, contemplando as seguintes informações: a) nome ou razão social do fornecedor; b) CPF ou CNPJ do fornecedor; c) nome do imóvel; d) Município e Unidade da Federação onde se situa a propriedade rural; e) ponto georreferenciado da propriedade rural; f) Cadastro Ambiental Rural (CAR); g) número de inscrição da propriedade rural no Sistema Nacional de Cadastro Rural (SNCR); e h) número da licença ambiental ou documento equivalente, ou ainda, a comprovação da dispensa de licenciamento pelo órgão ambiental competente;</w:t>
      </w:r>
      <w:r w:rsidR="009051BE">
        <w:rPr>
          <w:rFonts w:cs="Arial"/>
          <w:szCs w:val="24"/>
        </w:rPr>
        <w:t xml:space="preserve"> </w:t>
      </w:r>
      <w:r w:rsidR="009051BE" w:rsidRPr="000A3BE3">
        <w:rPr>
          <w:rFonts w:cs="Arial"/>
          <w:b/>
          <w:bCs/>
          <w:i/>
          <w:color w:val="000099"/>
          <w:sz w:val="20"/>
        </w:rPr>
        <w:t xml:space="preserve">(Alterado pela Circular SUP/ADIG </w:t>
      </w:r>
      <w:r w:rsidR="009051BE" w:rsidRPr="000A3BE3">
        <w:rPr>
          <w:rFonts w:cs="Arial"/>
          <w:b/>
          <w:i/>
          <w:color w:val="000099"/>
          <w:sz w:val="20"/>
        </w:rPr>
        <w:t>Nº 64/2022-BNDES, de 13.12.2022)</w:t>
      </w:r>
    </w:p>
    <w:p w14:paraId="2C39861F" w14:textId="18DEB88F" w:rsidR="00EA4E1A" w:rsidRPr="00356386" w:rsidRDefault="00EA4E1A" w:rsidP="009051BE">
      <w:pPr>
        <w:numPr>
          <w:ilvl w:val="0"/>
          <w:numId w:val="4"/>
        </w:numPr>
        <w:tabs>
          <w:tab w:val="clear" w:pos="0"/>
          <w:tab w:val="num" w:pos="709"/>
        </w:tabs>
        <w:spacing w:before="180"/>
        <w:ind w:left="709" w:hanging="709"/>
        <w:jc w:val="both"/>
        <w:rPr>
          <w:rFonts w:ascii="Arial" w:hAnsi="Arial" w:cs="Arial"/>
          <w:sz w:val="24"/>
          <w:szCs w:val="24"/>
        </w:rPr>
      </w:pPr>
      <w:r w:rsidRPr="00356386">
        <w:rPr>
          <w:rFonts w:ascii="Arial" w:hAnsi="Arial" w:cs="Arial"/>
          <w:sz w:val="24"/>
          <w:szCs w:val="24"/>
        </w:rPr>
        <w:lastRenderedPageBreak/>
        <w:t>manter registros em separado de todas as aplicações de recursos no projeto, compreendendo todas as fontes utilizadas;</w:t>
      </w:r>
    </w:p>
    <w:p w14:paraId="337183E5" w14:textId="6B026038" w:rsidR="00E645D6" w:rsidRDefault="00E645D6" w:rsidP="00C026EF">
      <w:pPr>
        <w:numPr>
          <w:ilvl w:val="0"/>
          <w:numId w:val="4"/>
        </w:numPr>
        <w:tabs>
          <w:tab w:val="clear" w:pos="0"/>
          <w:tab w:val="num" w:pos="709"/>
        </w:tabs>
        <w:spacing w:before="180"/>
        <w:ind w:left="709" w:hanging="709"/>
        <w:jc w:val="both"/>
        <w:rPr>
          <w:rFonts w:ascii="Arial" w:hAnsi="Arial" w:cs="Arial"/>
          <w:sz w:val="24"/>
          <w:szCs w:val="24"/>
        </w:rPr>
      </w:pPr>
      <w:r>
        <w:rPr>
          <w:rFonts w:ascii="Arial" w:hAnsi="Arial" w:cs="Arial"/>
          <w:sz w:val="24"/>
          <w:szCs w:val="24"/>
        </w:rPr>
        <w:t>cumprir o disposto na legislação referente à Política Nacional do Meio Ambiente e adotar medidas e ações destinadas a evitar ou corrigir danos ou violações ao meio ambiente, segurança e medicina do trabalho que possam vir a ser causados em decorrência do projeto;</w:t>
      </w:r>
    </w:p>
    <w:p w14:paraId="0B7D8FCD" w14:textId="09FD3534" w:rsidR="00E645D6" w:rsidRDefault="00E645D6" w:rsidP="00C026EF">
      <w:pPr>
        <w:numPr>
          <w:ilvl w:val="0"/>
          <w:numId w:val="4"/>
        </w:numPr>
        <w:tabs>
          <w:tab w:val="clear" w:pos="0"/>
          <w:tab w:val="num" w:pos="709"/>
        </w:tabs>
        <w:spacing w:before="180"/>
        <w:ind w:left="709" w:hanging="709"/>
        <w:jc w:val="both"/>
        <w:rPr>
          <w:rFonts w:ascii="Arial" w:hAnsi="Arial" w:cs="Arial"/>
          <w:sz w:val="24"/>
          <w:szCs w:val="24"/>
        </w:rPr>
      </w:pPr>
      <w:r>
        <w:rPr>
          <w:rFonts w:ascii="Arial" w:hAnsi="Arial" w:cs="Arial"/>
          <w:sz w:val="24"/>
          <w:szCs w:val="24"/>
        </w:rPr>
        <w:t>manter-se regular perante os órgãos do meio ambiente, permanecendo válidas todas as licenças, autorizações, outorgas e afins atualmente necessárias para o projeto;</w:t>
      </w:r>
    </w:p>
    <w:p w14:paraId="416243FA" w14:textId="1F8E8084" w:rsidR="00E645D6" w:rsidRDefault="00E645D6" w:rsidP="00B82233">
      <w:pPr>
        <w:keepNext/>
        <w:numPr>
          <w:ilvl w:val="0"/>
          <w:numId w:val="4"/>
        </w:numPr>
        <w:spacing w:before="180"/>
        <w:ind w:left="709" w:hanging="709"/>
        <w:jc w:val="both"/>
        <w:rPr>
          <w:rFonts w:ascii="Arial" w:hAnsi="Arial" w:cs="Arial"/>
          <w:sz w:val="24"/>
          <w:szCs w:val="24"/>
        </w:rPr>
      </w:pPr>
      <w:r>
        <w:rPr>
          <w:rFonts w:ascii="Arial" w:hAnsi="Arial" w:cs="Arial"/>
          <w:sz w:val="24"/>
          <w:szCs w:val="24"/>
        </w:rPr>
        <w:t>observar a legislação aplicável às pessoas com deficiência na execução do projeto, em especial as exigências previstas na Lei nº 13.146/2015 (Estatuto da Pessoa com Deficiência);</w:t>
      </w:r>
    </w:p>
    <w:p w14:paraId="2E764336" w14:textId="0F9DDD46" w:rsidR="00E645D6" w:rsidRDefault="00CC39C3" w:rsidP="00C026EF">
      <w:pPr>
        <w:numPr>
          <w:ilvl w:val="0"/>
          <w:numId w:val="4"/>
        </w:numPr>
        <w:tabs>
          <w:tab w:val="clear" w:pos="0"/>
          <w:tab w:val="num" w:pos="709"/>
        </w:tabs>
        <w:spacing w:before="180"/>
        <w:ind w:left="709" w:hanging="709"/>
        <w:jc w:val="both"/>
        <w:rPr>
          <w:rFonts w:ascii="Arial" w:hAnsi="Arial" w:cs="Arial"/>
          <w:sz w:val="24"/>
          <w:szCs w:val="24"/>
        </w:rPr>
      </w:pPr>
      <w:r>
        <w:rPr>
          <w:rFonts w:ascii="Arial" w:hAnsi="Arial" w:cs="Arial"/>
          <w:sz w:val="24"/>
          <w:szCs w:val="24"/>
        </w:rPr>
        <w:t>observar os seguintes acordos internacionais ratificados pelo Brasil: I) Convenção sobre a Proibição do Desenvolvimento, Produção e Estocagem de Armas Bacteriológicas (Biológicas) e à Base de Toxinas e sua Destruição, promulgada pelo Decreto nº 77.374/1976; II) Convenção de Viena para a Proteção da Camada de Ozônio e do Protocolo de Montreal sobre Substâncias que Destoem a Camada de Ozônio, promulgada pelo Decreto nº 99.280/1990; III) Convenção de Basiléia sobre o Controle de Movimentos Transfronteiriços de Resíduos Perigosos e ser Depósito, promulgada pelo Decreto nº 875/1993; IV) Tratado sobre a Não-Proliferação de Armas Nucleares, promulgado pelo Decreto nº 2.864/1998; V) Convenção internacional sobre a Proibição do Desenvolvimento, Produção, Estocagem e Uso de Armas Químicas e sobre a Destruição das Armas Químicas Existentes no Mundo, promulgada pelo Decreto nº 2.977/1999; VI) Convenção sobre a Proibição do Uso, Armazenamento, Produção e Transferência de Minas Antipessoal e sobre sua Destruição, promulgada pelo Decreto nº 3.128/1999; VII) Convenção sobre Comércio Internacional das Espécies da Flora e da Fauna Selvagens em Perigo de Extinção – CITES, nos termos do Decreto nº 3.607/2000; VIII) Convenção de Estocolmo sobre Poluentes Orgânicos Persistentes; e IX) Convenção de Minamata sobre Mercúrio, promulgada pelo Decreto nº 9.470/2018;</w:t>
      </w:r>
    </w:p>
    <w:p w14:paraId="6547D406" w14:textId="59ECB12F" w:rsidR="00CC39C3" w:rsidRDefault="00701D0C" w:rsidP="00C026EF">
      <w:pPr>
        <w:numPr>
          <w:ilvl w:val="0"/>
          <w:numId w:val="4"/>
        </w:numPr>
        <w:tabs>
          <w:tab w:val="clear" w:pos="0"/>
          <w:tab w:val="num" w:pos="709"/>
        </w:tabs>
        <w:spacing w:before="180"/>
        <w:ind w:left="709" w:hanging="709"/>
        <w:jc w:val="both"/>
        <w:rPr>
          <w:rFonts w:ascii="Arial" w:hAnsi="Arial" w:cs="Arial"/>
          <w:sz w:val="24"/>
          <w:szCs w:val="24"/>
        </w:rPr>
      </w:pPr>
      <w:r w:rsidRPr="00B82233">
        <w:rPr>
          <w:rFonts w:ascii="Arial" w:hAnsi="Arial" w:cs="Arial"/>
          <w:b/>
          <w:sz w:val="24"/>
          <w:szCs w:val="24"/>
        </w:rPr>
        <w:t>quando possuir, dentre suas atividades, o abate e/ou fabricação de produtos de carne (Classificação Nacional de Atividades Econômicas – CNAE, Seção C 10.1, do Instituto Brasileiro de Geografia e Estatística – IBGE) apenas no que se refere a bovinos</w:t>
      </w:r>
      <w:r w:rsidR="00316F0B" w:rsidRPr="00B82233">
        <w:rPr>
          <w:rFonts w:ascii="Arial" w:hAnsi="Arial" w:cs="Arial"/>
          <w:sz w:val="24"/>
          <w:szCs w:val="24"/>
        </w:rPr>
        <w:t>:</w:t>
      </w:r>
      <w:r w:rsidRPr="00004740">
        <w:rPr>
          <w:rFonts w:ascii="Arial" w:hAnsi="Arial" w:cs="Arial"/>
          <w:sz w:val="24"/>
          <w:szCs w:val="24"/>
        </w:rPr>
        <w:t xml:space="preserve"> </w:t>
      </w:r>
      <w:r>
        <w:rPr>
          <w:rFonts w:ascii="Arial" w:hAnsi="Arial" w:cs="Arial"/>
          <w:sz w:val="24"/>
          <w:szCs w:val="24"/>
        </w:rPr>
        <w:t>mant</w:t>
      </w:r>
      <w:r w:rsidR="00E01060">
        <w:rPr>
          <w:rFonts w:ascii="Arial" w:hAnsi="Arial" w:cs="Arial"/>
          <w:sz w:val="24"/>
          <w:szCs w:val="24"/>
        </w:rPr>
        <w:t>er</w:t>
      </w:r>
      <w:r w:rsidRPr="00004740">
        <w:rPr>
          <w:rFonts w:ascii="Arial" w:hAnsi="Arial" w:cs="Arial"/>
          <w:sz w:val="24"/>
          <w:szCs w:val="24"/>
        </w:rPr>
        <w:t xml:space="preserve">, para todas as suas unidades, cadastro de fornecedores diretos, contendo lista acompanhada das seguintes informações: nome ou razão social, CPF ou CNPJ, nome do imóvel, município, UF, ponto georreferenciado da propriedade, número de inscrição no Sistema Nacional de Cadastro Rural e número da licença ambiental,  bem como </w:t>
      </w:r>
      <w:r w:rsidR="002955FC">
        <w:rPr>
          <w:rFonts w:ascii="Arial" w:hAnsi="Arial" w:cs="Arial"/>
          <w:sz w:val="24"/>
          <w:szCs w:val="24"/>
        </w:rPr>
        <w:t>manter, para</w:t>
      </w:r>
      <w:r w:rsidRPr="00004740">
        <w:rPr>
          <w:rFonts w:ascii="Arial" w:hAnsi="Arial" w:cs="Arial"/>
          <w:sz w:val="24"/>
          <w:szCs w:val="24"/>
        </w:rPr>
        <w:t xml:space="preserve"> todas as unidades industriais</w:t>
      </w:r>
      <w:r w:rsidR="002955FC">
        <w:rPr>
          <w:rFonts w:ascii="Arial" w:hAnsi="Arial" w:cs="Arial"/>
          <w:sz w:val="24"/>
          <w:szCs w:val="24"/>
        </w:rPr>
        <w:t>,</w:t>
      </w:r>
      <w:r w:rsidRPr="00004740">
        <w:rPr>
          <w:rFonts w:ascii="Arial" w:hAnsi="Arial" w:cs="Arial"/>
          <w:sz w:val="24"/>
          <w:szCs w:val="24"/>
        </w:rPr>
        <w:t xml:space="preserve"> sistema implementado com procedimentos para a compra de gado, no qual </w:t>
      </w:r>
      <w:r w:rsidR="00D95E80">
        <w:rPr>
          <w:rFonts w:ascii="Arial" w:hAnsi="Arial" w:cs="Arial"/>
          <w:sz w:val="24"/>
          <w:szCs w:val="24"/>
        </w:rPr>
        <w:t xml:space="preserve">devem </w:t>
      </w:r>
      <w:r w:rsidRPr="00004740">
        <w:rPr>
          <w:rFonts w:ascii="Arial" w:hAnsi="Arial" w:cs="Arial"/>
          <w:sz w:val="24"/>
          <w:szCs w:val="24"/>
        </w:rPr>
        <w:t>est</w:t>
      </w:r>
      <w:r w:rsidR="00D95E80">
        <w:rPr>
          <w:rFonts w:ascii="Arial" w:hAnsi="Arial" w:cs="Arial"/>
          <w:sz w:val="24"/>
          <w:szCs w:val="24"/>
        </w:rPr>
        <w:t>ar</w:t>
      </w:r>
      <w:r w:rsidRPr="00004740">
        <w:rPr>
          <w:rFonts w:ascii="Arial" w:hAnsi="Arial" w:cs="Arial"/>
          <w:sz w:val="24"/>
          <w:szCs w:val="24"/>
        </w:rPr>
        <w:t xml:space="preserve"> incluídos como fornecedores diretos apenas aqueles que, após sua avaliação, comprovaram o cumprimento das seguintes condições</w:t>
      </w:r>
      <w:r w:rsidR="00D95E80">
        <w:rPr>
          <w:rFonts w:ascii="Arial" w:hAnsi="Arial" w:cs="Arial"/>
          <w:sz w:val="24"/>
          <w:szCs w:val="24"/>
        </w:rPr>
        <w:t>:</w:t>
      </w:r>
    </w:p>
    <w:p w14:paraId="29B3800D" w14:textId="167382E7" w:rsidR="00D95E80" w:rsidRPr="00B82233" w:rsidRDefault="00D95E80" w:rsidP="008956AB">
      <w:pPr>
        <w:numPr>
          <w:ilvl w:val="2"/>
          <w:numId w:val="4"/>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possuírem inscrição no Cadastro de Empregadores que tenham mantido trabalhadores em condições análogas à de escravo, instituído pela Portaria Interministerial MTPS/MMIRDH nº 4, de 11.05.2016;</w:t>
      </w:r>
    </w:p>
    <w:p w14:paraId="183BCFDB" w14:textId="726F9EB6" w:rsidR="00D95E80" w:rsidRPr="00B82233" w:rsidRDefault="00D95E80" w:rsidP="008956AB">
      <w:pPr>
        <w:numPr>
          <w:ilvl w:val="2"/>
          <w:numId w:val="4"/>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 xml:space="preserve">não terem sido, os fornecedores diretos ou seus dirigentes, condenados por sentença transitada em julgado ou ato administrativo, exarado por entidade </w:t>
      </w:r>
      <w:r w:rsidRPr="00B82233">
        <w:rPr>
          <w:rFonts w:ascii="Arial" w:hAnsi="Arial" w:cs="Arial"/>
          <w:color w:val="000000"/>
          <w:sz w:val="24"/>
          <w:szCs w:val="24"/>
        </w:rPr>
        <w:lastRenderedPageBreak/>
        <w:t>oficial, em decorrência de suas atribuições legais, pela prática de atos que infrinjam a legislação de combate à discriminação de raça ou de gênero, ao trabalho infantil e ao trabalho escravo;</w:t>
      </w:r>
    </w:p>
    <w:p w14:paraId="5D2F1619" w14:textId="2B732BC3" w:rsidR="00D95E80" w:rsidRPr="00B82233" w:rsidRDefault="00D95E80" w:rsidP="008956AB">
      <w:pPr>
        <w:numPr>
          <w:ilvl w:val="2"/>
          <w:numId w:val="4"/>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estarem incluídos na lista de áreas embargadas mantida pelo IBAMA, nos termos do Decreto nº 6.321, de 21 de dezembro de 2007 e do Decreto 6.514/08, de 22 de julho de 2008;</w:t>
      </w:r>
    </w:p>
    <w:p w14:paraId="17FEF7BF" w14:textId="75A93E37" w:rsidR="00D95E80" w:rsidRPr="00B82233" w:rsidRDefault="00D95E80" w:rsidP="008956AB">
      <w:pPr>
        <w:numPr>
          <w:ilvl w:val="2"/>
          <w:numId w:val="4"/>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terem sido, os fornecedores diretos ou seus dirigentes, condenados por sentença transitada em julgado por invasão em terras indígenas de domínio da União, nos termos do art. 20 da Lei nº 4947/66, conforme informações divulgadas pelos órgãos oficiais competentes;</w:t>
      </w:r>
    </w:p>
    <w:p w14:paraId="1AA6376E" w14:textId="65FDE7E2" w:rsidR="00D95E80" w:rsidRPr="00B82233" w:rsidRDefault="00D95E80" w:rsidP="008956AB">
      <w:pPr>
        <w:numPr>
          <w:ilvl w:val="2"/>
          <w:numId w:val="4"/>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terem sido, os fornecedores diretos ou seus dirigentes, condenados por sentença penal transitada em julgado envolvendo conflitos agrários, conforme informações divulgadas pelos órgãos oficiais competentes;</w:t>
      </w:r>
    </w:p>
    <w:p w14:paraId="1B63FD6C" w14:textId="2CD17952" w:rsidR="00D95E80" w:rsidRPr="00B82233" w:rsidRDefault="00D95E80" w:rsidP="008956AB">
      <w:pPr>
        <w:numPr>
          <w:ilvl w:val="2"/>
          <w:numId w:val="4"/>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terem sido, os fornecedores diretos ou seus dirigentes, condenados por sentença transitada em julgado por quaisquer atos que caracterizem a falsidade ou violência na obtenção de título de posse ou propriedade de terras (“grilagem”), sejam estas públicas ou privadas, conforme informações divulgadas pelos órgãos oficiais competentes;</w:t>
      </w:r>
    </w:p>
    <w:p w14:paraId="1F7A2B07" w14:textId="3B9454CB" w:rsidR="00D95E80" w:rsidRPr="00B82233" w:rsidRDefault="00D95E80" w:rsidP="008956AB">
      <w:pPr>
        <w:numPr>
          <w:ilvl w:val="2"/>
          <w:numId w:val="4"/>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não terem sido, os fornecedores diretos ou seus dirigentes, condenados por sentença transitada em julgado pelas infrações penais relativas a desmatamento previstas na Lei 9.605/98, conforme informações divulgadas pelos órgãos oficiais competentes;</w:t>
      </w:r>
    </w:p>
    <w:p w14:paraId="66252F4C" w14:textId="30E91DA0" w:rsidR="00D95E80" w:rsidRPr="00B82233" w:rsidRDefault="00D95E80" w:rsidP="008956AB">
      <w:pPr>
        <w:numPr>
          <w:ilvl w:val="2"/>
          <w:numId w:val="4"/>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apresentem licença ambiental da propriedade rural ou comprovação da dispensa da mesma pelo órgão ambiental competente;</w:t>
      </w:r>
    </w:p>
    <w:p w14:paraId="01190CFE" w14:textId="436081AC" w:rsidR="00D95E80" w:rsidRPr="00D95E80" w:rsidRDefault="00D95E80" w:rsidP="008956AB">
      <w:pPr>
        <w:numPr>
          <w:ilvl w:val="2"/>
          <w:numId w:val="4"/>
        </w:numPr>
        <w:tabs>
          <w:tab w:val="left" w:pos="1276"/>
        </w:tabs>
        <w:spacing w:before="180"/>
        <w:ind w:left="1276" w:hanging="567"/>
        <w:jc w:val="both"/>
        <w:rPr>
          <w:rFonts w:ascii="Arial" w:hAnsi="Arial" w:cs="Arial"/>
          <w:sz w:val="24"/>
          <w:szCs w:val="24"/>
        </w:rPr>
      </w:pPr>
      <w:r w:rsidRPr="00B82233">
        <w:rPr>
          <w:rFonts w:ascii="Arial" w:hAnsi="Arial" w:cs="Arial"/>
          <w:color w:val="000000"/>
          <w:sz w:val="24"/>
          <w:szCs w:val="24"/>
        </w:rPr>
        <w:t>apresentem documento comprobatório de regularidade fundiária ou pedido de regularização fundiária perante os órgãos competentes, desde que apresentado até julho de 2010.</w:t>
      </w:r>
    </w:p>
    <w:p w14:paraId="70C963CF" w14:textId="3C6286ED" w:rsidR="00316F0B" w:rsidRDefault="00923F21" w:rsidP="00C026EF">
      <w:pPr>
        <w:numPr>
          <w:ilvl w:val="0"/>
          <w:numId w:val="4"/>
        </w:numPr>
        <w:tabs>
          <w:tab w:val="clear" w:pos="0"/>
          <w:tab w:val="num" w:pos="709"/>
        </w:tabs>
        <w:spacing w:before="180"/>
        <w:ind w:left="709" w:hanging="709"/>
        <w:jc w:val="both"/>
        <w:rPr>
          <w:rFonts w:ascii="Arial" w:hAnsi="Arial" w:cs="Arial"/>
          <w:sz w:val="24"/>
          <w:szCs w:val="24"/>
        </w:rPr>
      </w:pPr>
      <w:r w:rsidRPr="00B82233">
        <w:rPr>
          <w:rFonts w:ascii="Arial" w:hAnsi="Arial" w:cs="Arial"/>
          <w:b/>
          <w:sz w:val="24"/>
          <w:szCs w:val="24"/>
        </w:rPr>
        <w:t>q</w:t>
      </w:r>
      <w:r w:rsidR="00914CA3" w:rsidRPr="00B82233">
        <w:rPr>
          <w:rFonts w:ascii="Arial" w:hAnsi="Arial" w:cs="Arial"/>
          <w:b/>
          <w:sz w:val="24"/>
          <w:szCs w:val="24"/>
        </w:rPr>
        <w:t>uando possuir, entre suas atividades o CNAE C1011-2/01</w:t>
      </w:r>
      <w:r w:rsidR="00F824F8" w:rsidRPr="00E94F9A">
        <w:rPr>
          <w:rFonts w:ascii="Arial" w:hAnsi="Arial" w:cs="Arial"/>
          <w:sz w:val="24"/>
          <w:szCs w:val="24"/>
        </w:rPr>
        <w:t>:</w:t>
      </w:r>
      <w:r w:rsidR="00914CA3" w:rsidRPr="00E94F9A">
        <w:rPr>
          <w:rFonts w:ascii="Arial" w:hAnsi="Arial" w:cs="Arial"/>
          <w:sz w:val="24"/>
          <w:szCs w:val="24"/>
        </w:rPr>
        <w:t xml:space="preserve"> </w:t>
      </w:r>
      <w:r w:rsidR="00667B5B" w:rsidRPr="00B82233">
        <w:rPr>
          <w:rFonts w:ascii="Arial" w:hAnsi="Arial" w:cs="Arial"/>
          <w:sz w:val="24"/>
          <w:szCs w:val="24"/>
        </w:rPr>
        <w:t xml:space="preserve">apresentar </w:t>
      </w:r>
      <w:r w:rsidR="00A31363" w:rsidRPr="00B82233">
        <w:rPr>
          <w:rFonts w:ascii="Arial" w:hAnsi="Arial" w:cs="Arial"/>
          <w:sz w:val="24"/>
          <w:szCs w:val="24"/>
        </w:rPr>
        <w:t>à Instituição Financeira Credencia</w:t>
      </w:r>
      <w:r w:rsidR="00E40384">
        <w:rPr>
          <w:rFonts w:ascii="Arial" w:hAnsi="Arial" w:cs="Arial"/>
          <w:sz w:val="24"/>
          <w:szCs w:val="24"/>
        </w:rPr>
        <w:t>da</w:t>
      </w:r>
      <w:r w:rsidR="00667B5B" w:rsidRPr="00B82233">
        <w:rPr>
          <w:rFonts w:ascii="Arial" w:hAnsi="Arial" w:cs="Arial"/>
          <w:sz w:val="24"/>
          <w:szCs w:val="24"/>
        </w:rPr>
        <w:t xml:space="preserve">, a partir da data de formalização da operação, Relatório de Auditoria Independente, </w:t>
      </w:r>
      <w:r w:rsidR="00E40384">
        <w:rPr>
          <w:rFonts w:ascii="Arial" w:hAnsi="Arial" w:cs="Arial"/>
          <w:sz w:val="24"/>
          <w:szCs w:val="24"/>
        </w:rPr>
        <w:t xml:space="preserve">a ser mantido no dossiê da operação, abrangendo o período até 31 de dezembro de cada ano, durante toda a vigência do contrato, devendo ser </w:t>
      </w:r>
      <w:r w:rsidR="00667B5B" w:rsidRPr="00B82233">
        <w:rPr>
          <w:rFonts w:ascii="Arial" w:hAnsi="Arial" w:cs="Arial"/>
          <w:sz w:val="24"/>
          <w:szCs w:val="24"/>
        </w:rPr>
        <w:t>emitido</w:t>
      </w:r>
      <w:r w:rsidR="00E40384">
        <w:rPr>
          <w:rFonts w:ascii="Arial" w:hAnsi="Arial" w:cs="Arial"/>
          <w:sz w:val="24"/>
          <w:szCs w:val="24"/>
        </w:rPr>
        <w:t xml:space="preserve"> até 30 de junho do ano subsequente,</w:t>
      </w:r>
      <w:r w:rsidR="00667B5B" w:rsidRPr="00B82233">
        <w:rPr>
          <w:rFonts w:ascii="Arial" w:hAnsi="Arial" w:cs="Arial"/>
          <w:sz w:val="24"/>
          <w:szCs w:val="24"/>
        </w:rPr>
        <w:t xml:space="preserve"> por auditor registrado na CVM, para </w:t>
      </w:r>
      <w:r w:rsidR="00D42FD0" w:rsidRPr="00B82233">
        <w:rPr>
          <w:rFonts w:ascii="Arial" w:hAnsi="Arial" w:cs="Arial"/>
          <w:sz w:val="24"/>
          <w:szCs w:val="24"/>
        </w:rPr>
        <w:t xml:space="preserve">verificação do cumprimento das condições previstas no item </w:t>
      </w:r>
      <w:r w:rsidR="002A1F20" w:rsidRPr="00B82233">
        <w:rPr>
          <w:rFonts w:ascii="Arial" w:hAnsi="Arial" w:cs="Arial"/>
          <w:sz w:val="24"/>
          <w:szCs w:val="24"/>
        </w:rPr>
        <w:t>X</w:t>
      </w:r>
      <w:r w:rsidR="00E03583">
        <w:rPr>
          <w:rFonts w:ascii="Arial" w:hAnsi="Arial" w:cs="Arial"/>
          <w:sz w:val="24"/>
          <w:szCs w:val="24"/>
        </w:rPr>
        <w:t>I</w:t>
      </w:r>
      <w:r w:rsidR="002A1F20" w:rsidRPr="00B82233">
        <w:rPr>
          <w:rFonts w:ascii="Arial" w:hAnsi="Arial" w:cs="Arial"/>
          <w:sz w:val="24"/>
          <w:szCs w:val="24"/>
        </w:rPr>
        <w:t>X acima</w:t>
      </w:r>
      <w:r w:rsidR="00316F0B">
        <w:rPr>
          <w:rFonts w:ascii="Arial" w:hAnsi="Arial" w:cs="Arial"/>
          <w:sz w:val="24"/>
          <w:szCs w:val="24"/>
        </w:rPr>
        <w:t>;</w:t>
      </w:r>
    </w:p>
    <w:p w14:paraId="461EEBD1" w14:textId="2ADF002D" w:rsidR="00667B5B" w:rsidRPr="00B82233" w:rsidRDefault="0018382E" w:rsidP="0007423F">
      <w:pPr>
        <w:numPr>
          <w:ilvl w:val="0"/>
          <w:numId w:val="4"/>
        </w:numPr>
        <w:tabs>
          <w:tab w:val="clear" w:pos="0"/>
          <w:tab w:val="num" w:pos="709"/>
        </w:tabs>
        <w:spacing w:before="180"/>
        <w:ind w:left="709" w:hanging="709"/>
        <w:jc w:val="both"/>
        <w:rPr>
          <w:rFonts w:ascii="Arial" w:hAnsi="Arial" w:cs="Arial"/>
          <w:sz w:val="24"/>
          <w:szCs w:val="24"/>
        </w:rPr>
      </w:pPr>
      <w:r w:rsidRPr="002E7A6E">
        <w:rPr>
          <w:rFonts w:ascii="Arial" w:hAnsi="Arial" w:cs="Arial"/>
          <w:b/>
          <w:sz w:val="24"/>
          <w:szCs w:val="24"/>
        </w:rPr>
        <w:t>quando possuir, dentre suas atividades, o abate e/ou fabricação de produtos de carne (Classificação Nacional de Atividades Econômicas – CNAE, Seção C 10.1, do Instituto Brasileiro de Geografia e Estatística – IBGE) apenas no que se refere a bovinos</w:t>
      </w:r>
      <w:r w:rsidRPr="00B82233">
        <w:rPr>
          <w:rFonts w:ascii="Arial" w:hAnsi="Arial" w:cs="Arial"/>
          <w:sz w:val="24"/>
          <w:szCs w:val="24"/>
        </w:rPr>
        <w:t xml:space="preserve">: </w:t>
      </w:r>
      <w:r w:rsidR="00ED1BC9" w:rsidRPr="00B82233">
        <w:rPr>
          <w:rFonts w:ascii="Arial" w:hAnsi="Arial" w:cs="Arial"/>
          <w:sz w:val="24"/>
          <w:szCs w:val="24"/>
        </w:rPr>
        <w:t xml:space="preserve">(i) </w:t>
      </w:r>
      <w:r w:rsidR="005D251C" w:rsidRPr="002E7A6E">
        <w:rPr>
          <w:rFonts w:ascii="Arial" w:hAnsi="Arial" w:cs="Arial"/>
          <w:sz w:val="24"/>
          <w:szCs w:val="24"/>
        </w:rPr>
        <w:t>elaborar plano de desenvolvimento socioambiental de fornecedores que inclua capacitação e assistência técnica para aumento dos índices de produtividade e atendimento aos requisitos de regularidade fundiária e ambiental;</w:t>
      </w:r>
      <w:r w:rsidR="00ED1BC9" w:rsidRPr="00B82233">
        <w:rPr>
          <w:rFonts w:ascii="Arial" w:hAnsi="Arial" w:cs="Arial"/>
          <w:sz w:val="24"/>
          <w:szCs w:val="24"/>
        </w:rPr>
        <w:t xml:space="preserve"> (ii) aderir a sistema de rastreabilidade da cadeia produtiva de bovinos desde o nascimento até o abate; </w:t>
      </w:r>
      <w:r w:rsidR="0007423F" w:rsidRPr="00B82233">
        <w:rPr>
          <w:rFonts w:ascii="Arial" w:hAnsi="Arial" w:cs="Arial"/>
          <w:sz w:val="24"/>
          <w:szCs w:val="24"/>
        </w:rPr>
        <w:t xml:space="preserve">(iii) ao adquirir animais incluídos no sistema de rastreabilidade, verificar a regularidade das propriedades rurais envolvidas; e (iv) </w:t>
      </w:r>
      <w:r w:rsidR="0007423F" w:rsidRPr="00B82233">
        <w:rPr>
          <w:rFonts w:ascii="Arial" w:hAnsi="Arial" w:cs="Arial"/>
          <w:sz w:val="24"/>
          <w:szCs w:val="24"/>
        </w:rPr>
        <w:lastRenderedPageBreak/>
        <w:t>somente abater animais que tenham sido totalmente rastreados, de forma ininterrupta, desde o nascimento;</w:t>
      </w:r>
    </w:p>
    <w:p w14:paraId="512AA9E9" w14:textId="77777777" w:rsidR="00FE10EB" w:rsidRPr="00B82233" w:rsidRDefault="00FE10EB" w:rsidP="00C026EF">
      <w:pPr>
        <w:pStyle w:val="BNDES"/>
        <w:numPr>
          <w:ilvl w:val="0"/>
          <w:numId w:val="4"/>
        </w:numPr>
        <w:tabs>
          <w:tab w:val="clear" w:pos="0"/>
          <w:tab w:val="num" w:pos="709"/>
        </w:tabs>
        <w:spacing w:before="180"/>
        <w:ind w:left="709" w:hanging="709"/>
        <w:rPr>
          <w:rFonts w:cs="Arial"/>
          <w:szCs w:val="24"/>
        </w:rPr>
      </w:pPr>
      <w:r w:rsidRPr="00B82233">
        <w:rPr>
          <w:rFonts w:cs="Arial"/>
          <w:szCs w:val="24"/>
        </w:rPr>
        <w:t>apresentar à INSTITUIÇÃO FINANCEIRA CREDENCIADA, na hipótese de operação passível de ser caracterizada como ato de concentração na forma prevista nos artigos 88 e 90 da Lei nº 12.529, de 30.11.2011, decisão final do Conselho Administrativo de Defesa Econômica – CADE da aprovação daquele ato, ou manifestação formal dessa autarquia no sentido de que o mesmo não se configura como ato de concentração econômica;</w:t>
      </w:r>
    </w:p>
    <w:p w14:paraId="45BEC8CA" w14:textId="10747778" w:rsidR="00FE10EB" w:rsidRPr="00B82233" w:rsidRDefault="00FE10EB" w:rsidP="00831493">
      <w:pPr>
        <w:numPr>
          <w:ilvl w:val="0"/>
          <w:numId w:val="4"/>
        </w:numPr>
        <w:tabs>
          <w:tab w:val="clear" w:pos="0"/>
          <w:tab w:val="num" w:pos="709"/>
        </w:tabs>
        <w:spacing w:before="180"/>
        <w:ind w:left="709" w:hanging="709"/>
        <w:jc w:val="both"/>
        <w:rPr>
          <w:rFonts w:ascii="Arial" w:hAnsi="Arial" w:cs="Arial"/>
          <w:sz w:val="24"/>
          <w:szCs w:val="24"/>
        </w:rPr>
      </w:pPr>
      <w:r w:rsidRPr="00B82233">
        <w:rPr>
          <w:rFonts w:ascii="Arial" w:hAnsi="Arial" w:cs="Arial"/>
          <w:sz w:val="24"/>
          <w:szCs w:val="24"/>
        </w:rPr>
        <w:t xml:space="preserve">não oferecer, prometer, dar, autorizar, solicitar ou aceitar, direta ou indiretamente, qualquer vantagem indevida, pecuniária ou de qualquer natureza, relacionada de qualquer forma com a </w:t>
      </w:r>
      <w:r w:rsidR="00716EF3">
        <w:rPr>
          <w:rFonts w:ascii="Arial" w:hAnsi="Arial" w:cs="Arial"/>
          <w:sz w:val="24"/>
          <w:szCs w:val="24"/>
        </w:rPr>
        <w:t>FINALIDADE</w:t>
      </w:r>
      <w:r w:rsidRPr="00B82233">
        <w:rPr>
          <w:rFonts w:ascii="Arial" w:hAnsi="Arial" w:cs="Arial"/>
          <w:sz w:val="24"/>
          <w:szCs w:val="24"/>
        </w:rPr>
        <w:t>, assim como não praticar atos lesivos, infrações ou crimes contra a</w:t>
      </w:r>
      <w:r w:rsidR="00025397" w:rsidRPr="00B82233">
        <w:rPr>
          <w:rFonts w:ascii="Arial" w:hAnsi="Arial" w:cs="Arial"/>
          <w:sz w:val="24"/>
          <w:szCs w:val="24"/>
        </w:rPr>
        <w:t>s</w:t>
      </w:r>
      <w:r w:rsidRPr="00B82233">
        <w:rPr>
          <w:rFonts w:ascii="Arial" w:hAnsi="Arial" w:cs="Arial"/>
          <w:sz w:val="24"/>
          <w:szCs w:val="24"/>
        </w:rPr>
        <w:t xml:space="preserve"> orde</w:t>
      </w:r>
      <w:r w:rsidR="00025397" w:rsidRPr="00B82233">
        <w:rPr>
          <w:rFonts w:ascii="Arial" w:hAnsi="Arial" w:cs="Arial"/>
          <w:sz w:val="24"/>
          <w:szCs w:val="24"/>
        </w:rPr>
        <w:t>ns</w:t>
      </w:r>
      <w:r w:rsidRPr="00B82233">
        <w:rPr>
          <w:rFonts w:ascii="Arial" w:hAnsi="Arial" w:cs="Arial"/>
          <w:sz w:val="24"/>
          <w:szCs w:val="24"/>
        </w:rPr>
        <w:t xml:space="preserve"> econômica ou tributária, o sistema financeiro, o mercado de capitais ou a administração pública, nacional ou estrangeira,</w:t>
      </w:r>
      <w:r w:rsidR="00393159">
        <w:rPr>
          <w:rFonts w:ascii="Arial" w:hAnsi="Arial" w:cs="Arial"/>
          <w:sz w:val="24"/>
          <w:szCs w:val="24"/>
        </w:rPr>
        <w:t xml:space="preserve"> </w:t>
      </w:r>
      <w:r w:rsidR="00393159" w:rsidRPr="005B4A7E">
        <w:rPr>
          <w:rFonts w:ascii="Arial" w:hAnsi="Arial" w:cs="Arial"/>
          <w:sz w:val="24"/>
          <w:szCs w:val="24"/>
        </w:rPr>
        <w:t xml:space="preserve">contra o Estado Democrático de Direito, </w:t>
      </w:r>
      <w:r w:rsidRPr="00B82233">
        <w:rPr>
          <w:rFonts w:ascii="Arial" w:hAnsi="Arial" w:cs="Arial"/>
          <w:sz w:val="24"/>
          <w:szCs w:val="24"/>
        </w:rPr>
        <w:t xml:space="preserve">de “lavagem” ou ocultação de bens, direitos e valores, terrorismo ou financiamento ao terrorismo, previstos na legislação nacional e/ou estrangeira aplicável; </w:t>
      </w:r>
      <w:r w:rsidR="00393159" w:rsidRPr="00393159">
        <w:rPr>
          <w:rFonts w:ascii="Arial" w:hAnsi="Arial" w:cs="Arial"/>
          <w:b/>
          <w:bCs/>
          <w:i/>
          <w:color w:val="000099"/>
        </w:rPr>
        <w:t xml:space="preserve">(Alterado pela Circular SUP/ADIG </w:t>
      </w:r>
      <w:r w:rsidR="00393159" w:rsidRPr="00393159">
        <w:rPr>
          <w:rFonts w:ascii="Arial" w:hAnsi="Arial" w:cs="Arial"/>
          <w:b/>
          <w:i/>
          <w:color w:val="000099"/>
        </w:rPr>
        <w:t>Nº 6</w:t>
      </w:r>
      <w:r w:rsidR="00393159">
        <w:rPr>
          <w:rFonts w:ascii="Arial" w:hAnsi="Arial" w:cs="Arial"/>
          <w:b/>
          <w:i/>
          <w:color w:val="000099"/>
        </w:rPr>
        <w:t>6</w:t>
      </w:r>
      <w:r w:rsidR="00393159" w:rsidRPr="00393159">
        <w:rPr>
          <w:rFonts w:ascii="Arial" w:hAnsi="Arial" w:cs="Arial"/>
          <w:b/>
          <w:i/>
          <w:color w:val="000099"/>
        </w:rPr>
        <w:t>/202</w:t>
      </w:r>
      <w:r w:rsidR="00393159">
        <w:rPr>
          <w:rFonts w:ascii="Arial" w:hAnsi="Arial" w:cs="Arial"/>
          <w:b/>
          <w:i/>
          <w:color w:val="000099"/>
        </w:rPr>
        <w:t>4</w:t>
      </w:r>
      <w:r w:rsidR="00393159" w:rsidRPr="00393159">
        <w:rPr>
          <w:rFonts w:ascii="Arial" w:hAnsi="Arial" w:cs="Arial"/>
          <w:b/>
          <w:i/>
          <w:color w:val="000099"/>
        </w:rPr>
        <w:t xml:space="preserve">-BNDES, de </w:t>
      </w:r>
      <w:r w:rsidR="00393159">
        <w:rPr>
          <w:rFonts w:ascii="Arial" w:hAnsi="Arial" w:cs="Arial"/>
          <w:b/>
          <w:i/>
          <w:color w:val="000099"/>
        </w:rPr>
        <w:t>29</w:t>
      </w:r>
      <w:r w:rsidR="00393159" w:rsidRPr="00393159">
        <w:rPr>
          <w:rFonts w:ascii="Arial" w:hAnsi="Arial" w:cs="Arial"/>
          <w:b/>
          <w:i/>
          <w:color w:val="000099"/>
        </w:rPr>
        <w:t>.</w:t>
      </w:r>
      <w:r w:rsidR="00393159">
        <w:rPr>
          <w:rFonts w:ascii="Arial" w:hAnsi="Arial" w:cs="Arial"/>
          <w:b/>
          <w:i/>
          <w:color w:val="000099"/>
        </w:rPr>
        <w:t>07</w:t>
      </w:r>
      <w:r w:rsidR="00393159" w:rsidRPr="00393159">
        <w:rPr>
          <w:rFonts w:ascii="Arial" w:hAnsi="Arial" w:cs="Arial"/>
          <w:b/>
          <w:i/>
          <w:color w:val="000099"/>
        </w:rPr>
        <w:t>.202</w:t>
      </w:r>
      <w:r w:rsidR="00393159">
        <w:rPr>
          <w:rFonts w:ascii="Arial" w:hAnsi="Arial" w:cs="Arial"/>
          <w:b/>
          <w:i/>
          <w:color w:val="000099"/>
        </w:rPr>
        <w:t>4</w:t>
      </w:r>
      <w:r w:rsidR="00393159" w:rsidRPr="00393159">
        <w:rPr>
          <w:rFonts w:ascii="Arial" w:hAnsi="Arial" w:cs="Arial"/>
          <w:b/>
          <w:i/>
          <w:color w:val="000099"/>
        </w:rPr>
        <w:t>)</w:t>
      </w:r>
    </w:p>
    <w:p w14:paraId="3317BB0A" w14:textId="5A0A713C" w:rsidR="00E479EC" w:rsidRPr="00C21D2A" w:rsidRDefault="00E479EC" w:rsidP="00831493">
      <w:pPr>
        <w:numPr>
          <w:ilvl w:val="0"/>
          <w:numId w:val="4"/>
        </w:numPr>
        <w:tabs>
          <w:tab w:val="clear" w:pos="0"/>
          <w:tab w:val="num" w:pos="709"/>
        </w:tabs>
        <w:spacing w:before="180"/>
        <w:ind w:left="709" w:hanging="709"/>
        <w:jc w:val="both"/>
        <w:rPr>
          <w:rFonts w:ascii="Arial" w:hAnsi="Arial" w:cs="Arial"/>
          <w:strike/>
          <w:sz w:val="24"/>
          <w:szCs w:val="24"/>
        </w:rPr>
      </w:pPr>
      <w:r w:rsidRPr="00C21D2A">
        <w:rPr>
          <w:rFonts w:ascii="Arial" w:hAnsi="Arial" w:cs="Arial"/>
          <w:strike/>
          <w:sz w:val="24"/>
          <w:szCs w:val="24"/>
        </w:rPr>
        <w:t>tomar todas as medidas ao seu alcance para impedir que seus administradores</w:t>
      </w:r>
      <w:r w:rsidR="00F43691" w:rsidRPr="00C21D2A">
        <w:rPr>
          <w:rFonts w:ascii="Arial" w:hAnsi="Arial" w:cs="Arial"/>
          <w:strike/>
          <w:sz w:val="24"/>
          <w:szCs w:val="24"/>
        </w:rPr>
        <w:t>/dirigentes</w:t>
      </w:r>
      <w:r w:rsidRPr="00C21D2A">
        <w:rPr>
          <w:rFonts w:ascii="Arial" w:hAnsi="Arial" w:cs="Arial"/>
          <w:strike/>
          <w:sz w:val="24"/>
          <w:szCs w:val="24"/>
        </w:rPr>
        <w:t xml:space="preserve"> ou de suas controladas</w:t>
      </w:r>
      <w:r w:rsidR="003F521F" w:rsidRPr="00C21D2A">
        <w:rPr>
          <w:rFonts w:ascii="Arial" w:hAnsi="Arial" w:cs="Arial"/>
          <w:strike/>
          <w:sz w:val="24"/>
          <w:szCs w:val="24"/>
        </w:rPr>
        <w:t xml:space="preserve"> diretas ou indiretas</w:t>
      </w:r>
      <w:r w:rsidRPr="00C21D2A">
        <w:rPr>
          <w:rFonts w:ascii="Arial" w:hAnsi="Arial" w:cs="Arial"/>
          <w:strike/>
          <w:sz w:val="24"/>
          <w:szCs w:val="24"/>
        </w:rPr>
        <w:t>; seus empregados, mandatários ou representantes; bem como fornecedores</w:t>
      </w:r>
      <w:r w:rsidR="003F521F" w:rsidRPr="00C21D2A">
        <w:rPr>
          <w:rFonts w:ascii="Arial" w:hAnsi="Arial" w:cs="Arial"/>
          <w:strike/>
          <w:sz w:val="24"/>
          <w:szCs w:val="24"/>
        </w:rPr>
        <w:t xml:space="preserve"> de produto ou serviço essencial para a execução do projeto/operação</w:t>
      </w:r>
      <w:r w:rsidRPr="00C21D2A">
        <w:rPr>
          <w:rFonts w:ascii="Arial" w:hAnsi="Arial" w:cs="Arial"/>
          <w:strike/>
          <w:sz w:val="24"/>
          <w:szCs w:val="24"/>
        </w:rPr>
        <w:t>, pratiquem os atos descritos no  i</w:t>
      </w:r>
      <w:r w:rsidR="006D3DB0" w:rsidRPr="00C21D2A">
        <w:rPr>
          <w:rFonts w:ascii="Arial" w:hAnsi="Arial" w:cs="Arial"/>
          <w:strike/>
          <w:sz w:val="24"/>
          <w:szCs w:val="24"/>
        </w:rPr>
        <w:t>tem</w:t>
      </w:r>
      <w:r w:rsidRPr="00C21D2A">
        <w:rPr>
          <w:rFonts w:ascii="Arial" w:hAnsi="Arial" w:cs="Arial"/>
          <w:strike/>
          <w:sz w:val="24"/>
          <w:szCs w:val="24"/>
        </w:rPr>
        <w:t xml:space="preserve"> </w:t>
      </w:r>
      <w:r w:rsidR="00B3591D" w:rsidRPr="00C21D2A">
        <w:rPr>
          <w:rFonts w:ascii="Arial" w:hAnsi="Arial" w:cs="Arial"/>
          <w:strike/>
          <w:sz w:val="24"/>
          <w:szCs w:val="24"/>
        </w:rPr>
        <w:t>XX</w:t>
      </w:r>
      <w:r w:rsidR="00891EF1" w:rsidRPr="00C21D2A">
        <w:rPr>
          <w:rFonts w:ascii="Arial" w:hAnsi="Arial" w:cs="Arial"/>
          <w:strike/>
          <w:sz w:val="24"/>
          <w:szCs w:val="24"/>
        </w:rPr>
        <w:t>I</w:t>
      </w:r>
      <w:r w:rsidR="003B5053" w:rsidRPr="00C21D2A">
        <w:rPr>
          <w:rFonts w:ascii="Arial" w:hAnsi="Arial" w:cs="Arial"/>
          <w:strike/>
          <w:sz w:val="24"/>
          <w:szCs w:val="24"/>
        </w:rPr>
        <w:t>I</w:t>
      </w:r>
      <w:r w:rsidR="00EE672A" w:rsidRPr="00C21D2A">
        <w:rPr>
          <w:rFonts w:ascii="Arial" w:hAnsi="Arial" w:cs="Arial"/>
          <w:strike/>
          <w:sz w:val="24"/>
          <w:szCs w:val="24"/>
        </w:rPr>
        <w:t>I</w:t>
      </w:r>
      <w:r w:rsidRPr="00C21D2A">
        <w:rPr>
          <w:rFonts w:ascii="Arial" w:hAnsi="Arial" w:cs="Arial"/>
          <w:strike/>
          <w:sz w:val="24"/>
          <w:szCs w:val="24"/>
        </w:rPr>
        <w:t xml:space="preserve"> acima</w:t>
      </w:r>
      <w:r w:rsidR="006D3DB0" w:rsidRPr="00C21D2A">
        <w:rPr>
          <w:rFonts w:ascii="Arial" w:hAnsi="Arial" w:cs="Arial"/>
          <w:strike/>
          <w:sz w:val="24"/>
          <w:szCs w:val="24"/>
        </w:rPr>
        <w:t>, assim como atos que importem discriminação de raça ou gênero, trabalho infantil, trabalho escravo, ou que caracterizem assédio moral ou sexual, ou que importem crime contra o meio ambiente</w:t>
      </w:r>
      <w:r w:rsidRPr="00C21D2A">
        <w:rPr>
          <w:rFonts w:ascii="Arial" w:hAnsi="Arial" w:cs="Arial"/>
          <w:strike/>
          <w:sz w:val="24"/>
          <w:szCs w:val="24"/>
        </w:rPr>
        <w:t xml:space="preserve">; </w:t>
      </w:r>
    </w:p>
    <w:p w14:paraId="180771A4" w14:textId="77777777" w:rsidR="00C21D2A" w:rsidRPr="00C21D2A" w:rsidRDefault="00E479EC" w:rsidP="00C21D2A">
      <w:pPr>
        <w:spacing w:before="180"/>
        <w:ind w:left="709"/>
        <w:jc w:val="both"/>
        <w:rPr>
          <w:rFonts w:ascii="Arial" w:hAnsi="Arial" w:cs="Arial"/>
          <w:strike/>
          <w:sz w:val="24"/>
          <w:szCs w:val="24"/>
        </w:rPr>
      </w:pPr>
      <w:r w:rsidRPr="00C21D2A">
        <w:rPr>
          <w:rFonts w:ascii="Arial" w:hAnsi="Arial" w:cs="Arial"/>
          <w:strike/>
          <w:sz w:val="24"/>
          <w:szCs w:val="24"/>
        </w:rPr>
        <w:t>Para os fins dessa obrigação, são consideradas medidas destinadas a impedir a prática de condutas corruptas, entre outras a implementação, a manutenção e/ou o aprimoramento de práticas e/ou sistemas de controle interno, incluindo padrões de conduta, políticas e procedimentos de integridade</w:t>
      </w:r>
      <w:r w:rsidR="003B5053" w:rsidRPr="00C21D2A">
        <w:rPr>
          <w:rFonts w:ascii="Arial" w:hAnsi="Arial" w:cs="Arial"/>
          <w:strike/>
          <w:sz w:val="24"/>
          <w:szCs w:val="24"/>
        </w:rPr>
        <w:t>.</w:t>
      </w:r>
      <w:r w:rsidR="005078FA" w:rsidRPr="00C21D2A">
        <w:rPr>
          <w:rFonts w:ascii="Arial" w:hAnsi="Arial" w:cs="Arial"/>
          <w:strike/>
          <w:sz w:val="24"/>
          <w:szCs w:val="24"/>
        </w:rPr>
        <w:t xml:space="preserve"> </w:t>
      </w:r>
    </w:p>
    <w:p w14:paraId="6CA81911" w14:textId="1DCE8D17" w:rsidR="00C21D2A" w:rsidRPr="001A411A" w:rsidRDefault="00C21D2A" w:rsidP="00C21D2A">
      <w:pPr>
        <w:spacing w:before="180"/>
        <w:ind w:left="709"/>
        <w:jc w:val="both"/>
        <w:rPr>
          <w:rFonts w:ascii="Arial" w:hAnsi="Arial" w:cs="Arial"/>
          <w:sz w:val="24"/>
          <w:szCs w:val="24"/>
        </w:rPr>
      </w:pPr>
      <w:r w:rsidRPr="001A411A">
        <w:rPr>
          <w:rFonts w:ascii="Arial" w:hAnsi="Arial" w:cs="Arial"/>
          <w:sz w:val="24"/>
          <w:szCs w:val="24"/>
        </w:rPr>
        <w:t xml:space="preserve">tomar todas as medidas ao seu alcance para impedir que seus administradores/dirigentes ou de suas controladas diretas ou indiretas; seus empregados, mandatários ou representantes; bem como fornecedores de produto ou serviço essencial para a execução do projeto/operação, pratiquem os atos descritos no  item XXIII acima, assim como atos que importem </w:t>
      </w:r>
      <w:r w:rsidRPr="00287F59">
        <w:rPr>
          <w:rFonts w:ascii="Arial" w:hAnsi="Arial" w:cs="Arial"/>
          <w:sz w:val="24"/>
          <w:szCs w:val="24"/>
        </w:rPr>
        <w:t xml:space="preserve">em </w:t>
      </w:r>
      <w:r>
        <w:rPr>
          <w:rFonts w:ascii="Arial" w:hAnsi="Arial" w:cs="Arial"/>
          <w:sz w:val="24"/>
          <w:szCs w:val="24"/>
        </w:rPr>
        <w:t xml:space="preserve">assédio, discriminação ou </w:t>
      </w:r>
      <w:r w:rsidRPr="006C12C6">
        <w:rPr>
          <w:rFonts w:ascii="Arial" w:hAnsi="Arial" w:cs="Arial"/>
          <w:sz w:val="24"/>
          <w:szCs w:val="24"/>
        </w:rPr>
        <w:t>preconceito com base em atributos pessoais (tais como etnia, raça, cor, condição socioeconômica, situação familiar, nacionalidade, idade, sexo, orientação sexual, identidade de gênero, religião, crença, deficiência, condição genética ou de saúde e posicionamento ideológico ou político), exploração irregular, ilegal ou criminosa do trabalho infantil ou prática relacionada ao trabalho em condições análogas à escravidão, ao tráfico de pessoas, à exploração sexual ou ao proveito criminoso da prostituição</w:t>
      </w:r>
      <w:r w:rsidRPr="00287F59">
        <w:rPr>
          <w:rFonts w:ascii="Arial" w:hAnsi="Arial" w:cs="Arial"/>
          <w:sz w:val="24"/>
          <w:szCs w:val="24"/>
        </w:rPr>
        <w:t>,</w:t>
      </w:r>
      <w:r>
        <w:rPr>
          <w:rFonts w:ascii="Arial" w:hAnsi="Arial" w:cs="Arial"/>
          <w:sz w:val="24"/>
          <w:szCs w:val="24"/>
        </w:rPr>
        <w:t xml:space="preserve"> assédio moral ou sexual,</w:t>
      </w:r>
      <w:r w:rsidRPr="00287F59">
        <w:rPr>
          <w:rFonts w:ascii="Arial" w:hAnsi="Arial" w:cs="Arial"/>
          <w:sz w:val="24"/>
          <w:szCs w:val="24"/>
        </w:rPr>
        <w:t xml:space="preserve"> </w:t>
      </w:r>
      <w:r w:rsidRPr="00F34817">
        <w:rPr>
          <w:rFonts w:ascii="Arial" w:hAnsi="Arial" w:cs="Arial"/>
          <w:sz w:val="24"/>
          <w:szCs w:val="24"/>
        </w:rPr>
        <w:t xml:space="preserve">violência contra a mulher </w:t>
      </w:r>
      <w:r w:rsidRPr="00287F59">
        <w:rPr>
          <w:rFonts w:ascii="Arial" w:hAnsi="Arial" w:cs="Arial"/>
          <w:sz w:val="24"/>
          <w:szCs w:val="24"/>
        </w:rPr>
        <w:t>ou que importem em crime contra o meio ambiente</w:t>
      </w:r>
      <w:r>
        <w:rPr>
          <w:rFonts w:ascii="Arial" w:hAnsi="Arial" w:cs="Arial"/>
          <w:sz w:val="24"/>
          <w:szCs w:val="24"/>
        </w:rPr>
        <w:t xml:space="preserve">, </w:t>
      </w:r>
      <w:r w:rsidRPr="001A411A">
        <w:rPr>
          <w:rFonts w:ascii="Arial" w:hAnsi="Arial" w:cs="Arial"/>
          <w:sz w:val="24"/>
          <w:szCs w:val="24"/>
        </w:rPr>
        <w:t xml:space="preserve">e não praticará referidos atos durante a vigência </w:t>
      </w:r>
      <w:r>
        <w:rPr>
          <w:rFonts w:ascii="Arial" w:hAnsi="Arial" w:cs="Arial"/>
          <w:sz w:val="24"/>
          <w:szCs w:val="24"/>
        </w:rPr>
        <w:t>da operação de crédito</w:t>
      </w:r>
      <w:r w:rsidRPr="001A411A">
        <w:rPr>
          <w:rFonts w:ascii="Arial" w:hAnsi="Arial" w:cs="Arial"/>
          <w:sz w:val="24"/>
          <w:szCs w:val="24"/>
        </w:rPr>
        <w:t xml:space="preserve">; </w:t>
      </w:r>
    </w:p>
    <w:p w14:paraId="306F2E40" w14:textId="0E6099AE" w:rsidR="00E479EC" w:rsidRDefault="00C21D2A" w:rsidP="00C21D2A">
      <w:pPr>
        <w:spacing w:before="180"/>
        <w:ind w:left="709"/>
        <w:jc w:val="both"/>
        <w:rPr>
          <w:rFonts w:ascii="Arial" w:hAnsi="Arial" w:cs="Arial"/>
          <w:sz w:val="24"/>
          <w:szCs w:val="24"/>
        </w:rPr>
      </w:pPr>
      <w:r w:rsidRPr="001A411A">
        <w:rPr>
          <w:rFonts w:ascii="Arial" w:hAnsi="Arial" w:cs="Arial"/>
          <w:sz w:val="24"/>
          <w:szCs w:val="24"/>
        </w:rPr>
        <w:t>Para os fins dessa obrigação, são consideradas medidas destinadas a impedir a prática de condutas corruptas, entre outras</w:t>
      </w:r>
      <w:r>
        <w:rPr>
          <w:rFonts w:ascii="Arial" w:hAnsi="Arial" w:cs="Arial"/>
          <w:sz w:val="24"/>
          <w:szCs w:val="24"/>
        </w:rPr>
        <w:t>,</w:t>
      </w:r>
      <w:r w:rsidRPr="001A411A">
        <w:rPr>
          <w:rFonts w:ascii="Arial" w:hAnsi="Arial" w:cs="Arial"/>
          <w:sz w:val="24"/>
          <w:szCs w:val="24"/>
        </w:rPr>
        <w:t xml:space="preserve"> a implementação, a manutenção e/ou o aprimoramento de práticas e/ou sistemas de controle interno, incluindo padrões de conduta, políticas e procedimentos de integridade</w:t>
      </w:r>
      <w:r>
        <w:rPr>
          <w:rFonts w:ascii="Arial" w:hAnsi="Arial" w:cs="Arial"/>
          <w:sz w:val="24"/>
          <w:szCs w:val="24"/>
        </w:rPr>
        <w:t>.</w:t>
      </w:r>
      <w:r w:rsidR="00995CD8">
        <w:rPr>
          <w:rFonts w:ascii="Arial" w:hAnsi="Arial" w:cs="Arial"/>
          <w:sz w:val="24"/>
          <w:szCs w:val="24"/>
        </w:rPr>
        <w:t xml:space="preserve"> </w:t>
      </w:r>
      <w:r w:rsidR="00995CD8">
        <w:rPr>
          <w:rFonts w:ascii="Arial" w:hAnsi="Arial" w:cs="Arial"/>
          <w:b/>
          <w:i/>
          <w:color w:val="000099"/>
          <w:szCs w:val="24"/>
        </w:rPr>
        <w:t xml:space="preserve">(Alterado pela Circular </w:t>
      </w:r>
      <w:r w:rsidR="00995CD8" w:rsidRPr="006B6932">
        <w:rPr>
          <w:rFonts w:ascii="Arial" w:hAnsi="Arial" w:cs="Arial"/>
          <w:b/>
          <w:i/>
          <w:color w:val="000099"/>
          <w:szCs w:val="24"/>
        </w:rPr>
        <w:t xml:space="preserve">SUP/ADIG Nº </w:t>
      </w:r>
      <w:r w:rsidR="00995CD8">
        <w:rPr>
          <w:rFonts w:ascii="Arial" w:hAnsi="Arial" w:cs="Arial"/>
          <w:b/>
          <w:i/>
          <w:color w:val="000099"/>
          <w:szCs w:val="24"/>
        </w:rPr>
        <w:t>28</w:t>
      </w:r>
      <w:r w:rsidR="00995CD8" w:rsidRPr="006B6932">
        <w:rPr>
          <w:rFonts w:ascii="Arial" w:hAnsi="Arial" w:cs="Arial"/>
          <w:b/>
          <w:i/>
          <w:color w:val="000099"/>
          <w:szCs w:val="24"/>
        </w:rPr>
        <w:t>/202</w:t>
      </w:r>
      <w:r w:rsidR="00995CD8">
        <w:rPr>
          <w:rFonts w:ascii="Arial" w:hAnsi="Arial" w:cs="Arial"/>
          <w:b/>
          <w:i/>
          <w:color w:val="000099"/>
          <w:szCs w:val="24"/>
        </w:rPr>
        <w:t>4</w:t>
      </w:r>
      <w:r w:rsidR="00995CD8" w:rsidRPr="006B6932">
        <w:rPr>
          <w:rFonts w:ascii="Arial" w:hAnsi="Arial" w:cs="Arial"/>
          <w:b/>
          <w:i/>
          <w:color w:val="000099"/>
          <w:szCs w:val="24"/>
        </w:rPr>
        <w:t>-BNDES</w:t>
      </w:r>
      <w:r w:rsidR="00995CD8">
        <w:rPr>
          <w:rFonts w:ascii="Arial" w:hAnsi="Arial" w:cs="Arial"/>
          <w:b/>
          <w:i/>
          <w:color w:val="000099"/>
          <w:szCs w:val="24"/>
        </w:rPr>
        <w:t>, de 22.05.2024)</w:t>
      </w:r>
    </w:p>
    <w:p w14:paraId="1E78419A" w14:textId="53C3A0B1" w:rsidR="00C66230" w:rsidRPr="00B82233" w:rsidRDefault="00C66230" w:rsidP="00B82233">
      <w:pPr>
        <w:numPr>
          <w:ilvl w:val="0"/>
          <w:numId w:val="4"/>
        </w:numPr>
        <w:tabs>
          <w:tab w:val="clear" w:pos="0"/>
          <w:tab w:val="num" w:pos="709"/>
        </w:tabs>
        <w:spacing w:before="180"/>
        <w:ind w:left="709" w:hanging="709"/>
        <w:jc w:val="both"/>
        <w:rPr>
          <w:rFonts w:ascii="Arial" w:hAnsi="Arial" w:cs="Arial"/>
          <w:sz w:val="24"/>
          <w:szCs w:val="24"/>
        </w:rPr>
      </w:pPr>
      <w:r w:rsidRPr="00B65ED2">
        <w:rPr>
          <w:rFonts w:ascii="Arial" w:hAnsi="Arial" w:cs="Arial"/>
          <w:sz w:val="24"/>
          <w:szCs w:val="24"/>
        </w:rPr>
        <w:lastRenderedPageBreak/>
        <w:t>manter estrito controle sobre a localização d</w:t>
      </w:r>
      <w:r>
        <w:rPr>
          <w:rFonts w:ascii="Arial" w:hAnsi="Arial" w:cs="Arial"/>
          <w:sz w:val="24"/>
          <w:szCs w:val="24"/>
        </w:rPr>
        <w:t>os bens objeto do financiamento e disponibilizar</w:t>
      </w:r>
      <w:r w:rsidRPr="00B65ED2">
        <w:rPr>
          <w:rFonts w:ascii="Arial" w:hAnsi="Arial" w:cs="Arial"/>
          <w:sz w:val="24"/>
          <w:szCs w:val="24"/>
        </w:rPr>
        <w:t xml:space="preserve"> essa informação, a qualquer tempo, à </w:t>
      </w:r>
      <w:r w:rsidRPr="00B82233">
        <w:rPr>
          <w:rFonts w:ascii="Arial" w:hAnsi="Arial" w:cs="Arial"/>
          <w:sz w:val="24"/>
          <w:szCs w:val="24"/>
        </w:rPr>
        <w:t>Instituição Financeira Credenciada</w:t>
      </w:r>
      <w:r w:rsidRPr="00B65ED2">
        <w:rPr>
          <w:rFonts w:ascii="Arial" w:hAnsi="Arial" w:cs="Arial"/>
          <w:sz w:val="24"/>
          <w:szCs w:val="24"/>
        </w:rPr>
        <w:t xml:space="preserve"> e ao BNDES/FINAME</w:t>
      </w:r>
      <w:r>
        <w:rPr>
          <w:rFonts w:ascii="Arial" w:hAnsi="Arial" w:cs="Arial"/>
          <w:sz w:val="24"/>
          <w:szCs w:val="24"/>
        </w:rPr>
        <w:t>.</w:t>
      </w:r>
    </w:p>
    <w:p w14:paraId="63A6F8DE" w14:textId="77777777" w:rsidR="00557ED0" w:rsidRPr="00B82233" w:rsidRDefault="00557ED0" w:rsidP="00B82233">
      <w:pPr>
        <w:pStyle w:val="Ttulo2"/>
        <w:tabs>
          <w:tab w:val="left" w:pos="2835"/>
        </w:tabs>
        <w:spacing w:before="0"/>
        <w:ind w:left="709"/>
        <w:jc w:val="both"/>
        <w:rPr>
          <w:rFonts w:ascii="Arial" w:hAnsi="Arial" w:cs="Arial"/>
          <w:color w:val="000000"/>
          <w:sz w:val="24"/>
          <w:szCs w:val="24"/>
        </w:rPr>
      </w:pPr>
    </w:p>
    <w:p w14:paraId="03AD7EBF" w14:textId="77777777" w:rsidR="00FE10EB" w:rsidRPr="00B82233" w:rsidRDefault="00FE10EB" w:rsidP="00062FAC">
      <w:pPr>
        <w:pStyle w:val="Corpodetexto"/>
        <w:spacing w:before="120" w:after="120"/>
        <w:rPr>
          <w:rFonts w:cs="Arial"/>
          <w:sz w:val="24"/>
          <w:szCs w:val="24"/>
        </w:rPr>
      </w:pPr>
    </w:p>
    <w:sectPr w:rsidR="00FE10EB" w:rsidRPr="00B82233" w:rsidSect="00DC2ED7">
      <w:headerReference w:type="even" r:id="rId25"/>
      <w:headerReference w:type="default" r:id="rId26"/>
      <w:headerReference w:type="first" r:id="rId27"/>
      <w:pgSz w:w="11907" w:h="16840" w:code="9"/>
      <w:pgMar w:top="1701" w:right="851" w:bottom="1134" w:left="1418" w:header="85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26E01" w14:textId="77777777" w:rsidR="00BA57C6" w:rsidRDefault="00BA57C6">
      <w:r>
        <w:separator/>
      </w:r>
    </w:p>
  </w:endnote>
  <w:endnote w:type="continuationSeparator" w:id="0">
    <w:p w14:paraId="5E4C877E" w14:textId="77777777" w:rsidR="00BA57C6" w:rsidRDefault="00BA57C6">
      <w:r>
        <w:continuationSeparator/>
      </w:r>
    </w:p>
  </w:endnote>
  <w:endnote w:type="continuationNotice" w:id="1">
    <w:p w14:paraId="72671614" w14:textId="77777777" w:rsidR="00BA57C6" w:rsidRDefault="00BA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um">
    <w:altName w:val="Calibri"/>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DB079" w14:textId="77777777" w:rsidR="00BA57C6" w:rsidRDefault="00BA57C6">
      <w:r>
        <w:separator/>
      </w:r>
    </w:p>
  </w:footnote>
  <w:footnote w:type="continuationSeparator" w:id="0">
    <w:p w14:paraId="31ED2B72" w14:textId="77777777" w:rsidR="00BA57C6" w:rsidRDefault="00BA57C6">
      <w:r>
        <w:continuationSeparator/>
      </w:r>
    </w:p>
  </w:footnote>
  <w:footnote w:type="continuationNotice" w:id="1">
    <w:p w14:paraId="48773900" w14:textId="77777777" w:rsidR="00BA57C6" w:rsidRDefault="00BA57C6"/>
  </w:footnote>
  <w:footnote w:id="2">
    <w:p w14:paraId="5C56C833" w14:textId="7647896D" w:rsidR="00BA57C6" w:rsidRPr="00B82233" w:rsidRDefault="00BA57C6" w:rsidP="00B82233">
      <w:pPr>
        <w:pStyle w:val="Ttulo4"/>
        <w:tabs>
          <w:tab w:val="left" w:pos="142"/>
          <w:tab w:val="left" w:pos="851"/>
        </w:tabs>
        <w:spacing w:before="0"/>
        <w:jc w:val="both"/>
        <w:rPr>
          <w:rFonts w:ascii="Arial" w:hAnsi="Arial" w:cs="Arial"/>
          <w:sz w:val="22"/>
          <w:szCs w:val="22"/>
        </w:rPr>
      </w:pPr>
      <w:r w:rsidRPr="00B82233">
        <w:rPr>
          <w:rStyle w:val="Refdenotaderodap"/>
          <w:rFonts w:ascii="Arial" w:hAnsi="Arial" w:cs="Arial"/>
          <w:i w:val="0"/>
          <w:color w:val="auto"/>
          <w:sz w:val="22"/>
          <w:szCs w:val="22"/>
        </w:rPr>
        <w:footnoteRef/>
      </w:r>
      <w:r w:rsidRPr="00B82233">
        <w:rPr>
          <w:rFonts w:ascii="Arial" w:hAnsi="Arial" w:cs="Arial"/>
          <w:i w:val="0"/>
          <w:color w:val="auto"/>
          <w:sz w:val="22"/>
          <w:szCs w:val="22"/>
        </w:rPr>
        <w:t xml:space="preserve"> </w:t>
      </w:r>
      <w:r w:rsidRPr="00B82233">
        <w:rPr>
          <w:rFonts w:ascii="Arial" w:hAnsi="Arial" w:cs="Arial"/>
          <w:bCs/>
          <w:i w:val="0"/>
          <w:color w:val="auto"/>
          <w:sz w:val="22"/>
          <w:szCs w:val="22"/>
        </w:rPr>
        <w:t>A taxa (J) é composta pela taxa prefixada multiplicada pelo fator de ajuste, nos termos do art. 3º da Lei nº 13.483, de 21 de setembro 2017, relativa ao mês da contratação.</w:t>
      </w:r>
    </w:p>
  </w:footnote>
  <w:footnote w:id="3">
    <w:p w14:paraId="63693C59" w14:textId="48E05091" w:rsidR="00BA57C6" w:rsidRPr="00B82233" w:rsidRDefault="00BA57C6" w:rsidP="00B82233">
      <w:pPr>
        <w:pStyle w:val="Textodenotaderodap"/>
        <w:jc w:val="both"/>
        <w:rPr>
          <w:rFonts w:ascii="Arial" w:hAnsi="Arial" w:cs="Arial"/>
          <w:sz w:val="22"/>
          <w:szCs w:val="22"/>
        </w:rPr>
      </w:pPr>
      <w:r w:rsidRPr="00B82233">
        <w:rPr>
          <w:rStyle w:val="Refdenotaderodap"/>
          <w:rFonts w:ascii="Arial" w:hAnsi="Arial" w:cs="Arial"/>
          <w:sz w:val="22"/>
          <w:szCs w:val="22"/>
        </w:rPr>
        <w:footnoteRef/>
      </w:r>
      <w:r w:rsidRPr="00B82233">
        <w:rPr>
          <w:rFonts w:ascii="Arial" w:hAnsi="Arial" w:cs="Arial"/>
          <w:sz w:val="22"/>
          <w:szCs w:val="22"/>
        </w:rPr>
        <w:t xml:space="preserve"> </w:t>
      </w:r>
      <w:r w:rsidRPr="00B82233">
        <w:rPr>
          <w:rFonts w:ascii="Arial" w:hAnsi="Arial" w:cs="Arial"/>
          <w:bCs/>
          <w:sz w:val="22"/>
          <w:szCs w:val="22"/>
        </w:rPr>
        <w:t>O Spread BNDES é composto de remuneração básica + taxa de intermediação financeira.</w:t>
      </w:r>
    </w:p>
  </w:footnote>
  <w:footnote w:id="4">
    <w:p w14:paraId="378C1840" w14:textId="77777777" w:rsidR="00BA57C6" w:rsidRPr="00B82233" w:rsidRDefault="00BA57C6" w:rsidP="00DD1B97">
      <w:pPr>
        <w:pStyle w:val="Ttulo4"/>
        <w:tabs>
          <w:tab w:val="left" w:pos="142"/>
          <w:tab w:val="left" w:pos="851"/>
        </w:tabs>
        <w:spacing w:before="0"/>
        <w:jc w:val="both"/>
        <w:rPr>
          <w:rFonts w:ascii="Arial" w:hAnsi="Arial" w:cs="Arial"/>
          <w:i w:val="0"/>
          <w:color w:val="auto"/>
          <w:sz w:val="22"/>
          <w:szCs w:val="22"/>
        </w:rPr>
      </w:pPr>
      <w:r w:rsidRPr="00B82233">
        <w:rPr>
          <w:rStyle w:val="Refdenotaderodap"/>
          <w:rFonts w:ascii="Arial" w:hAnsi="Arial" w:cs="Arial"/>
          <w:i w:val="0"/>
          <w:color w:val="auto"/>
          <w:sz w:val="22"/>
          <w:szCs w:val="22"/>
        </w:rPr>
        <w:footnoteRef/>
      </w:r>
      <w:r w:rsidRPr="00B82233">
        <w:rPr>
          <w:rFonts w:ascii="Arial" w:hAnsi="Arial" w:cs="Arial"/>
          <w:i w:val="0"/>
          <w:color w:val="auto"/>
          <w:sz w:val="22"/>
          <w:szCs w:val="22"/>
        </w:rPr>
        <w:t xml:space="preserve"> </w:t>
      </w:r>
      <w:r w:rsidRPr="00B82233">
        <w:rPr>
          <w:rFonts w:ascii="Arial" w:hAnsi="Arial" w:cs="Arial"/>
          <w:bCs/>
          <w:i w:val="0"/>
          <w:color w:val="auto"/>
          <w:sz w:val="22"/>
          <w:szCs w:val="22"/>
        </w:rPr>
        <w:t>A taxa (J) é composta pela taxa prefixada multiplicada pelo fator de ajuste, nos termos do art. 3º da Lei nº 13.483, de 21 de setembro 2017, relativa ao mês da contratação.</w:t>
      </w:r>
    </w:p>
  </w:footnote>
  <w:footnote w:id="5">
    <w:p w14:paraId="2F9C9C0B" w14:textId="77777777" w:rsidR="00BA57C6" w:rsidRPr="00D204BC" w:rsidRDefault="00BA57C6" w:rsidP="00DD1B97">
      <w:pPr>
        <w:pStyle w:val="Textodenotaderodap"/>
        <w:jc w:val="both"/>
        <w:rPr>
          <w:rFonts w:ascii="Arial" w:hAnsi="Arial" w:cs="Arial"/>
          <w:sz w:val="22"/>
          <w:szCs w:val="22"/>
        </w:rPr>
      </w:pPr>
      <w:r w:rsidRPr="005233D4">
        <w:rPr>
          <w:rStyle w:val="Refdenotaderodap"/>
          <w:rFonts w:ascii="Arial" w:hAnsi="Arial" w:cs="Arial"/>
          <w:sz w:val="22"/>
          <w:szCs w:val="22"/>
        </w:rPr>
        <w:footnoteRef/>
      </w:r>
      <w:r w:rsidRPr="005233D4">
        <w:rPr>
          <w:rFonts w:ascii="Arial" w:hAnsi="Arial" w:cs="Arial"/>
          <w:sz w:val="22"/>
          <w:szCs w:val="22"/>
        </w:rPr>
        <w:t xml:space="preserve"> </w:t>
      </w:r>
      <w:r w:rsidRPr="005233D4">
        <w:rPr>
          <w:rFonts w:ascii="Arial" w:hAnsi="Arial" w:cs="Arial"/>
          <w:bCs/>
          <w:sz w:val="22"/>
          <w:szCs w:val="22"/>
        </w:rPr>
        <w:t>O Spread BNDES é composto de remuneração básica + taxa de intermediação financeira.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0B02" w14:textId="77777777" w:rsidR="00BA57C6" w:rsidRDefault="00BA57C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8773E11" w14:textId="77777777" w:rsidR="00BA57C6" w:rsidRDefault="00BA57C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5AF7" w14:textId="4DFF90E6" w:rsidR="00BA57C6" w:rsidRPr="00872E6C" w:rsidRDefault="00BA57C6" w:rsidP="00872E6C">
    <w:pPr>
      <w:pStyle w:val="Cabealho"/>
      <w:tabs>
        <w:tab w:val="clear" w:pos="4419"/>
        <w:tab w:val="clear" w:pos="8838"/>
      </w:tabs>
      <w:ind w:right="-1"/>
      <w:jc w:val="right"/>
      <w:rPr>
        <w:rFonts w:ascii="Arial" w:hAnsi="Arial" w:cs="Arial"/>
        <w:b/>
        <w:i/>
      </w:rPr>
    </w:pPr>
    <w:r>
      <w:rPr>
        <w:rFonts w:ascii="Arial" w:hAnsi="Arial" w:cs="Arial"/>
        <w:b/>
        <w:i/>
        <w:noProof/>
      </w:rPr>
      <w:drawing>
        <wp:anchor distT="0" distB="0" distL="114300" distR="114300" simplePos="0" relativeHeight="251658240" behindDoc="0" locked="0" layoutInCell="1" allowOverlap="1" wp14:anchorId="0D453D8E" wp14:editId="262AAB6F">
          <wp:simplePos x="0" y="0"/>
          <wp:positionH relativeFrom="column">
            <wp:posOffset>-48895</wp:posOffset>
          </wp:positionH>
          <wp:positionV relativeFrom="paragraph">
            <wp:posOffset>8255</wp:posOffset>
          </wp:positionV>
          <wp:extent cx="1371600" cy="274320"/>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r w:rsidRPr="00872E6C">
      <w:rPr>
        <w:rStyle w:val="Nmerodepgina"/>
        <w:rFonts w:ascii="Arial" w:hAnsi="Arial" w:cs="Arial"/>
        <w:b/>
        <w:i/>
      </w:rPr>
      <w:t xml:space="preserve">- </w:t>
    </w:r>
    <w:r w:rsidRPr="00872E6C">
      <w:rPr>
        <w:rStyle w:val="Nmerodepgina"/>
        <w:rFonts w:ascii="Arial" w:hAnsi="Arial" w:cs="Arial"/>
        <w:b/>
        <w:i/>
      </w:rPr>
      <w:fldChar w:fldCharType="begin"/>
    </w:r>
    <w:r w:rsidRPr="00872E6C">
      <w:rPr>
        <w:rStyle w:val="Nmerodepgina"/>
        <w:rFonts w:ascii="Arial" w:hAnsi="Arial" w:cs="Arial"/>
        <w:b/>
        <w:i/>
      </w:rPr>
      <w:instrText xml:space="preserve"> PAGE </w:instrText>
    </w:r>
    <w:r w:rsidRPr="00872E6C">
      <w:rPr>
        <w:rStyle w:val="Nmerodepgina"/>
        <w:rFonts w:ascii="Arial" w:hAnsi="Arial" w:cs="Arial"/>
        <w:b/>
        <w:i/>
      </w:rPr>
      <w:fldChar w:fldCharType="separate"/>
    </w:r>
    <w:r w:rsidR="000B0F06">
      <w:rPr>
        <w:rStyle w:val="Nmerodepgina"/>
        <w:rFonts w:ascii="Arial" w:hAnsi="Arial" w:cs="Arial"/>
        <w:b/>
        <w:i/>
        <w:noProof/>
      </w:rPr>
      <w:t>23</w:t>
    </w:r>
    <w:r w:rsidRPr="00872E6C">
      <w:rPr>
        <w:rStyle w:val="Nmerodepgina"/>
        <w:rFonts w:ascii="Arial" w:hAnsi="Arial" w:cs="Arial"/>
        <w:b/>
        <w:i/>
      </w:rPr>
      <w:fldChar w:fldCharType="end"/>
    </w:r>
    <w:r w:rsidRPr="00872E6C">
      <w:rPr>
        <w:rStyle w:val="Nmerodepgina"/>
        <w:rFonts w:ascii="Arial" w:hAnsi="Arial" w:cs="Arial"/>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5FCE" w14:textId="1BAB8B99" w:rsidR="00BA57C6" w:rsidRPr="00A91166" w:rsidRDefault="00BA57C6" w:rsidP="002E5511">
    <w:pPr>
      <w:tabs>
        <w:tab w:val="left" w:pos="-720"/>
        <w:tab w:val="left" w:pos="0"/>
        <w:tab w:val="left" w:pos="720"/>
        <w:tab w:val="left" w:pos="1440"/>
        <w:tab w:val="left" w:pos="2160"/>
        <w:tab w:val="left" w:pos="2880"/>
        <w:tab w:val="left" w:pos="3600"/>
        <w:tab w:val="left" w:pos="4320"/>
      </w:tabs>
      <w:jc w:val="right"/>
      <w:rPr>
        <w:rFonts w:ascii="Helv" w:hAnsi="Helv" w:cs="Helv"/>
        <w:color w:val="999999"/>
        <w:sz w:val="18"/>
        <w:szCs w:val="18"/>
      </w:rPr>
    </w:pPr>
    <w:r>
      <w:rPr>
        <w:noProof/>
        <w:color w:val="999999"/>
      </w:rPr>
      <w:drawing>
        <wp:anchor distT="0" distB="0" distL="114300" distR="114300" simplePos="0" relativeHeight="251657216" behindDoc="0" locked="0" layoutInCell="1" allowOverlap="1" wp14:anchorId="34571B12" wp14:editId="26C2D67F">
          <wp:simplePos x="0" y="0"/>
          <wp:positionH relativeFrom="column">
            <wp:posOffset>3810</wp:posOffset>
          </wp:positionH>
          <wp:positionV relativeFrom="paragraph">
            <wp:posOffset>12700</wp:posOffset>
          </wp:positionV>
          <wp:extent cx="1371600" cy="27432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r>
      <w:rPr>
        <w:rFonts w:ascii="Helv" w:hAnsi="Helv" w:cs="Helv"/>
        <w:b/>
        <w:bCs/>
        <w:color w:val="999999"/>
        <w:sz w:val="18"/>
        <w:szCs w:val="18"/>
      </w:rPr>
      <w:t>Grau</w:t>
    </w:r>
    <w:r w:rsidRPr="00A91166">
      <w:rPr>
        <w:rFonts w:ascii="Helv" w:hAnsi="Helv" w:cs="Helv"/>
        <w:b/>
        <w:bCs/>
        <w:color w:val="999999"/>
        <w:sz w:val="18"/>
        <w:szCs w:val="18"/>
      </w:rPr>
      <w:t>:</w:t>
    </w:r>
    <w:r w:rsidRPr="00A91166">
      <w:rPr>
        <w:rFonts w:ascii="Helv" w:hAnsi="Helv" w:cs="Helv"/>
        <w:color w:val="999999"/>
        <w:sz w:val="18"/>
        <w:szCs w:val="18"/>
      </w:rPr>
      <w:t xml:space="preserve"> Documento Ostensivo</w:t>
    </w:r>
  </w:p>
  <w:p w14:paraId="4620335C" w14:textId="77777777" w:rsidR="00BA57C6" w:rsidRPr="00C445B1" w:rsidRDefault="00BA57C6" w:rsidP="002E5511">
    <w:pPr>
      <w:pStyle w:val="Cabealho"/>
      <w:jc w:val="right"/>
      <w:rPr>
        <w:color w:val="999999"/>
      </w:rPr>
    </w:pPr>
    <w:r w:rsidRPr="00A91166">
      <w:rPr>
        <w:rFonts w:ascii="Helv" w:hAnsi="Helv" w:cs="Helv"/>
        <w:b/>
        <w:bCs/>
        <w:color w:val="999999"/>
        <w:sz w:val="18"/>
        <w:szCs w:val="18"/>
      </w:rPr>
      <w:t>Unidade Gestora:</w:t>
    </w:r>
    <w:r w:rsidRPr="00A91166">
      <w:rPr>
        <w:rFonts w:ascii="Helv" w:hAnsi="Helv" w:cs="Helv"/>
        <w:color w:val="999999"/>
        <w:sz w:val="18"/>
        <w:szCs w:val="18"/>
      </w:rPr>
      <w:t xml:space="preserve"> A</w:t>
    </w:r>
    <w:r>
      <w:rPr>
        <w:rFonts w:ascii="Helv" w:hAnsi="Helv" w:cs="Helv"/>
        <w:color w:val="999999"/>
        <w:sz w:val="18"/>
        <w:szCs w:val="18"/>
      </w:rPr>
      <w:t>DIG</w:t>
    </w:r>
  </w:p>
  <w:p w14:paraId="5C5F1BE0" w14:textId="77777777" w:rsidR="00BA57C6" w:rsidRDefault="00BA57C6">
    <w:pPr>
      <w:pStyle w:val="Cabealho"/>
      <w:jc w:val="right"/>
      <w:rPr>
        <w:rFonts w:ascii="Arial" w:hAnsi="Arial" w:cs="Arial"/>
        <w:bCs/>
        <w:sz w:val="18"/>
      </w:rPr>
    </w:pPr>
  </w:p>
  <w:p w14:paraId="47BD36D8" w14:textId="77777777" w:rsidR="00BA57C6" w:rsidRPr="00C445B1" w:rsidRDefault="00BA57C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9E5D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BA1689"/>
    <w:multiLevelType w:val="hybridMultilevel"/>
    <w:tmpl w:val="FFB0B6B2"/>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15:restartNumberingAfterBreak="0">
    <w:nsid w:val="087F1456"/>
    <w:multiLevelType w:val="hybridMultilevel"/>
    <w:tmpl w:val="426EED86"/>
    <w:lvl w:ilvl="0" w:tplc="8BBC4C16">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7F0FBA"/>
    <w:multiLevelType w:val="multilevel"/>
    <w:tmpl w:val="00CA9400"/>
    <w:lvl w:ilvl="0">
      <w:start w:val="1"/>
      <w:numFmt w:val="upperRoman"/>
      <w:lvlText w:val="%1. "/>
      <w:legacy w:legacy="1" w:legacySpace="0" w:legacyIndent="283"/>
      <w:lvlJc w:val="left"/>
      <w:pPr>
        <w:ind w:left="283" w:hanging="283"/>
      </w:pPr>
      <w:rPr>
        <w:rFonts w:ascii="Arial" w:hAnsi="Arial" w:hint="default"/>
        <w:b w:val="0"/>
        <w:i w:val="0"/>
        <w:sz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110F0B"/>
    <w:multiLevelType w:val="hybridMultilevel"/>
    <w:tmpl w:val="7F7E9664"/>
    <w:lvl w:ilvl="0" w:tplc="08D2E558">
      <w:start w:val="16"/>
      <w:numFmt w:val="upperRoman"/>
      <w:lvlText w:val="%1. "/>
      <w:lvlJc w:val="left"/>
      <w:pPr>
        <w:ind w:left="283" w:hanging="283"/>
      </w:pPr>
      <w:rPr>
        <w:rFonts w:ascii="Arial" w:hAnsi="Arial" w:hint="default"/>
        <w:b w:val="0"/>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A3701B"/>
    <w:multiLevelType w:val="hybridMultilevel"/>
    <w:tmpl w:val="034E3B3A"/>
    <w:lvl w:ilvl="0" w:tplc="6FD26DCE">
      <w:start w:val="1"/>
      <w:numFmt w:val="lowerLetter"/>
      <w:lvlText w:val="%1)"/>
      <w:lvlJc w:val="left"/>
      <w:pPr>
        <w:tabs>
          <w:tab w:val="num" w:pos="2640"/>
        </w:tabs>
        <w:ind w:left="2640" w:hanging="360"/>
      </w:pPr>
      <w:rPr>
        <w:rFonts w:hint="default"/>
      </w:rPr>
    </w:lvl>
    <w:lvl w:ilvl="1" w:tplc="04160019" w:tentative="1">
      <w:start w:val="1"/>
      <w:numFmt w:val="lowerLetter"/>
      <w:lvlText w:val="%2."/>
      <w:lvlJc w:val="left"/>
      <w:pPr>
        <w:tabs>
          <w:tab w:val="num" w:pos="3360"/>
        </w:tabs>
        <w:ind w:left="3360" w:hanging="360"/>
      </w:pPr>
    </w:lvl>
    <w:lvl w:ilvl="2" w:tplc="0416001B" w:tentative="1">
      <w:start w:val="1"/>
      <w:numFmt w:val="lowerRoman"/>
      <w:lvlText w:val="%3."/>
      <w:lvlJc w:val="right"/>
      <w:pPr>
        <w:tabs>
          <w:tab w:val="num" w:pos="4080"/>
        </w:tabs>
        <w:ind w:left="4080" w:hanging="180"/>
      </w:pPr>
    </w:lvl>
    <w:lvl w:ilvl="3" w:tplc="0416000F" w:tentative="1">
      <w:start w:val="1"/>
      <w:numFmt w:val="decimal"/>
      <w:lvlText w:val="%4."/>
      <w:lvlJc w:val="left"/>
      <w:pPr>
        <w:tabs>
          <w:tab w:val="num" w:pos="4800"/>
        </w:tabs>
        <w:ind w:left="4800" w:hanging="360"/>
      </w:pPr>
    </w:lvl>
    <w:lvl w:ilvl="4" w:tplc="04160019" w:tentative="1">
      <w:start w:val="1"/>
      <w:numFmt w:val="lowerLetter"/>
      <w:lvlText w:val="%5."/>
      <w:lvlJc w:val="left"/>
      <w:pPr>
        <w:tabs>
          <w:tab w:val="num" w:pos="5520"/>
        </w:tabs>
        <w:ind w:left="5520" w:hanging="360"/>
      </w:pPr>
    </w:lvl>
    <w:lvl w:ilvl="5" w:tplc="0416001B" w:tentative="1">
      <w:start w:val="1"/>
      <w:numFmt w:val="lowerRoman"/>
      <w:lvlText w:val="%6."/>
      <w:lvlJc w:val="right"/>
      <w:pPr>
        <w:tabs>
          <w:tab w:val="num" w:pos="6240"/>
        </w:tabs>
        <w:ind w:left="6240" w:hanging="180"/>
      </w:pPr>
    </w:lvl>
    <w:lvl w:ilvl="6" w:tplc="0416000F" w:tentative="1">
      <w:start w:val="1"/>
      <w:numFmt w:val="decimal"/>
      <w:lvlText w:val="%7."/>
      <w:lvlJc w:val="left"/>
      <w:pPr>
        <w:tabs>
          <w:tab w:val="num" w:pos="6960"/>
        </w:tabs>
        <w:ind w:left="6960" w:hanging="360"/>
      </w:pPr>
    </w:lvl>
    <w:lvl w:ilvl="7" w:tplc="04160019" w:tentative="1">
      <w:start w:val="1"/>
      <w:numFmt w:val="lowerLetter"/>
      <w:lvlText w:val="%8."/>
      <w:lvlJc w:val="left"/>
      <w:pPr>
        <w:tabs>
          <w:tab w:val="num" w:pos="7680"/>
        </w:tabs>
        <w:ind w:left="7680" w:hanging="360"/>
      </w:pPr>
    </w:lvl>
    <w:lvl w:ilvl="8" w:tplc="0416001B" w:tentative="1">
      <w:start w:val="1"/>
      <w:numFmt w:val="lowerRoman"/>
      <w:lvlText w:val="%9."/>
      <w:lvlJc w:val="right"/>
      <w:pPr>
        <w:tabs>
          <w:tab w:val="num" w:pos="8400"/>
        </w:tabs>
        <w:ind w:left="8400" w:hanging="180"/>
      </w:pPr>
    </w:lvl>
  </w:abstractNum>
  <w:abstractNum w:abstractNumId="6" w15:restartNumberingAfterBreak="0">
    <w:nsid w:val="10C163A9"/>
    <w:multiLevelType w:val="hybridMultilevel"/>
    <w:tmpl w:val="143EE190"/>
    <w:lvl w:ilvl="0" w:tplc="D730DBD6">
      <w:start w:val="1"/>
      <w:numFmt w:val="lowerLetter"/>
      <w:lvlText w:val="(%1)"/>
      <w:lvlJc w:val="left"/>
      <w:pPr>
        <w:ind w:left="2208" w:hanging="720"/>
      </w:pPr>
      <w:rPr>
        <w:rFonts w:hint="default"/>
      </w:rPr>
    </w:lvl>
    <w:lvl w:ilvl="1" w:tplc="04160019">
      <w:start w:val="1"/>
      <w:numFmt w:val="lowerLetter"/>
      <w:lvlText w:val="%2."/>
      <w:lvlJc w:val="left"/>
      <w:pPr>
        <w:ind w:left="2568" w:hanging="360"/>
      </w:pPr>
    </w:lvl>
    <w:lvl w:ilvl="2" w:tplc="0416001B" w:tentative="1">
      <w:start w:val="1"/>
      <w:numFmt w:val="lowerRoman"/>
      <w:lvlText w:val="%3."/>
      <w:lvlJc w:val="right"/>
      <w:pPr>
        <w:ind w:left="3288" w:hanging="180"/>
      </w:pPr>
    </w:lvl>
    <w:lvl w:ilvl="3" w:tplc="0416000F" w:tentative="1">
      <w:start w:val="1"/>
      <w:numFmt w:val="decimal"/>
      <w:lvlText w:val="%4."/>
      <w:lvlJc w:val="left"/>
      <w:pPr>
        <w:ind w:left="4008" w:hanging="360"/>
      </w:pPr>
    </w:lvl>
    <w:lvl w:ilvl="4" w:tplc="04160019" w:tentative="1">
      <w:start w:val="1"/>
      <w:numFmt w:val="lowerLetter"/>
      <w:lvlText w:val="%5."/>
      <w:lvlJc w:val="left"/>
      <w:pPr>
        <w:ind w:left="4728" w:hanging="360"/>
      </w:pPr>
    </w:lvl>
    <w:lvl w:ilvl="5" w:tplc="0416001B" w:tentative="1">
      <w:start w:val="1"/>
      <w:numFmt w:val="lowerRoman"/>
      <w:lvlText w:val="%6."/>
      <w:lvlJc w:val="right"/>
      <w:pPr>
        <w:ind w:left="5448" w:hanging="180"/>
      </w:pPr>
    </w:lvl>
    <w:lvl w:ilvl="6" w:tplc="0416000F" w:tentative="1">
      <w:start w:val="1"/>
      <w:numFmt w:val="decimal"/>
      <w:lvlText w:val="%7."/>
      <w:lvlJc w:val="left"/>
      <w:pPr>
        <w:ind w:left="6168" w:hanging="360"/>
      </w:pPr>
    </w:lvl>
    <w:lvl w:ilvl="7" w:tplc="04160019" w:tentative="1">
      <w:start w:val="1"/>
      <w:numFmt w:val="lowerLetter"/>
      <w:lvlText w:val="%8."/>
      <w:lvlJc w:val="left"/>
      <w:pPr>
        <w:ind w:left="6888" w:hanging="360"/>
      </w:pPr>
    </w:lvl>
    <w:lvl w:ilvl="8" w:tplc="0416001B" w:tentative="1">
      <w:start w:val="1"/>
      <w:numFmt w:val="lowerRoman"/>
      <w:lvlText w:val="%9."/>
      <w:lvlJc w:val="right"/>
      <w:pPr>
        <w:ind w:left="7608" w:hanging="180"/>
      </w:pPr>
    </w:lvl>
  </w:abstractNum>
  <w:abstractNum w:abstractNumId="7" w15:restartNumberingAfterBreak="0">
    <w:nsid w:val="13ED144B"/>
    <w:multiLevelType w:val="hybridMultilevel"/>
    <w:tmpl w:val="66F4310E"/>
    <w:lvl w:ilvl="0" w:tplc="DF984B90">
      <w:start w:val="1"/>
      <w:numFmt w:val="upperRoman"/>
      <w:lvlText w:val="%1."/>
      <w:lvlJc w:val="left"/>
      <w:pPr>
        <w:tabs>
          <w:tab w:val="num" w:pos="2793"/>
        </w:tabs>
        <w:ind w:left="2793" w:hanging="720"/>
      </w:pPr>
    </w:lvl>
    <w:lvl w:ilvl="1" w:tplc="16E6C72C">
      <w:start w:val="1"/>
      <w:numFmt w:val="lowerLetter"/>
      <w:lvlText w:val="%2)"/>
      <w:lvlJc w:val="left"/>
      <w:pPr>
        <w:tabs>
          <w:tab w:val="num" w:pos="1440"/>
        </w:tabs>
        <w:ind w:left="1440" w:hanging="360"/>
      </w:pPr>
      <w:rPr>
        <w:rFonts w:ascii="Arial" w:hAnsi="Arial" w:cs="Times New Roman" w:hint="default"/>
        <w:b w:val="0"/>
        <w:i w:val="0"/>
        <w:strike w:val="0"/>
        <w:dstrike w:val="0"/>
        <w:color w:val="auto"/>
        <w:sz w:val="24"/>
        <w:szCs w:val="24"/>
        <w:u w:val="none"/>
        <w:effect w:val="none"/>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16137DF6"/>
    <w:multiLevelType w:val="hybridMultilevel"/>
    <w:tmpl w:val="F156105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170133F8"/>
    <w:multiLevelType w:val="multilevel"/>
    <w:tmpl w:val="A7A4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90703F"/>
    <w:multiLevelType w:val="hybridMultilevel"/>
    <w:tmpl w:val="6B482EC2"/>
    <w:lvl w:ilvl="0" w:tplc="D5D0259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1C8264F1"/>
    <w:multiLevelType w:val="hybridMultilevel"/>
    <w:tmpl w:val="72EEA06A"/>
    <w:lvl w:ilvl="0" w:tplc="B254C62E">
      <w:start w:val="1"/>
      <w:numFmt w:val="lowerLetter"/>
      <w:lvlText w:val="%1)"/>
      <w:lvlJc w:val="left"/>
      <w:pPr>
        <w:ind w:left="720" w:hanging="360"/>
      </w:pPr>
      <w:rPr>
        <w:rFonts w:ascii="Arial" w:hAnsi="Arial" w:cs="Arial"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105FAE"/>
    <w:multiLevelType w:val="hybridMultilevel"/>
    <w:tmpl w:val="426EED86"/>
    <w:lvl w:ilvl="0" w:tplc="8BBC4C1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3397CBE"/>
    <w:multiLevelType w:val="hybridMultilevel"/>
    <w:tmpl w:val="17C672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807D27"/>
    <w:multiLevelType w:val="hybridMultilevel"/>
    <w:tmpl w:val="3C526FDE"/>
    <w:lvl w:ilvl="0" w:tplc="F06872DE">
      <w:start w:val="18"/>
      <w:numFmt w:val="upperRoman"/>
      <w:lvlText w:val="%1. "/>
      <w:lvlJc w:val="left"/>
      <w:pPr>
        <w:tabs>
          <w:tab w:val="num" w:pos="0"/>
        </w:tabs>
        <w:ind w:left="283" w:hanging="283"/>
      </w:pPr>
      <w:rPr>
        <w:rFonts w:ascii="Arial" w:hAnsi="Arial" w:hint="default"/>
        <w:b w:val="0"/>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201DBB"/>
    <w:multiLevelType w:val="singleLevel"/>
    <w:tmpl w:val="4CB66FBA"/>
    <w:lvl w:ilvl="0">
      <w:start w:val="1"/>
      <w:numFmt w:val="upperRoman"/>
      <w:lvlText w:val="%1. "/>
      <w:legacy w:legacy="1" w:legacySpace="0" w:legacyIndent="283"/>
      <w:lvlJc w:val="left"/>
      <w:pPr>
        <w:ind w:left="283" w:hanging="283"/>
      </w:pPr>
      <w:rPr>
        <w:rFonts w:ascii="Arial" w:hAnsi="Arial" w:hint="default"/>
        <w:b w:val="0"/>
        <w:i w:val="0"/>
        <w:strike w:val="0"/>
        <w:sz w:val="22"/>
        <w:u w:val="none"/>
      </w:rPr>
    </w:lvl>
  </w:abstractNum>
  <w:abstractNum w:abstractNumId="16" w15:restartNumberingAfterBreak="0">
    <w:nsid w:val="2A472AF1"/>
    <w:multiLevelType w:val="hybridMultilevel"/>
    <w:tmpl w:val="44CEDDB2"/>
    <w:lvl w:ilvl="0" w:tplc="B1E4EE44">
      <w:start w:val="3"/>
      <w:numFmt w:val="upperRoman"/>
      <w:lvlText w:val="%1. "/>
      <w:lvlJc w:val="left"/>
      <w:pPr>
        <w:ind w:left="1703" w:hanging="283"/>
      </w:pPr>
      <w:rPr>
        <w:rFonts w:ascii="Arial" w:hAnsi="Arial" w:hint="default"/>
        <w:b w:val="0"/>
        <w:i w:val="0"/>
        <w:sz w:val="22"/>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2F368D"/>
    <w:multiLevelType w:val="singleLevel"/>
    <w:tmpl w:val="DB26EB1E"/>
    <w:lvl w:ilvl="0">
      <w:start w:val="1"/>
      <w:numFmt w:val="upperRoman"/>
      <w:lvlText w:val="%1."/>
      <w:legacy w:legacy="1" w:legacySpace="0" w:legacyIndent="283"/>
      <w:lvlJc w:val="left"/>
      <w:pPr>
        <w:ind w:left="283" w:hanging="283"/>
      </w:pPr>
    </w:lvl>
  </w:abstractNum>
  <w:abstractNum w:abstractNumId="18" w15:restartNumberingAfterBreak="0">
    <w:nsid w:val="337416FE"/>
    <w:multiLevelType w:val="hybridMultilevel"/>
    <w:tmpl w:val="845895DC"/>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5C399C"/>
    <w:multiLevelType w:val="hybridMultilevel"/>
    <w:tmpl w:val="116C9C02"/>
    <w:lvl w:ilvl="0" w:tplc="962EC5FC">
      <w:start w:val="1"/>
      <w:numFmt w:val="low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3CC340CE"/>
    <w:multiLevelType w:val="hybridMultilevel"/>
    <w:tmpl w:val="D65287F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C041CB"/>
    <w:multiLevelType w:val="hybridMultilevel"/>
    <w:tmpl w:val="426EED86"/>
    <w:lvl w:ilvl="0" w:tplc="8BBC4C1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42CC3F3A"/>
    <w:multiLevelType w:val="singleLevel"/>
    <w:tmpl w:val="9C421B48"/>
    <w:lvl w:ilvl="0">
      <w:start w:val="2"/>
      <w:numFmt w:val="upperRoman"/>
      <w:lvlText w:val="%1."/>
      <w:legacy w:legacy="1" w:legacySpace="0" w:legacyIndent="283"/>
      <w:lvlJc w:val="left"/>
      <w:pPr>
        <w:ind w:left="283" w:hanging="283"/>
      </w:pPr>
    </w:lvl>
  </w:abstractNum>
  <w:abstractNum w:abstractNumId="23" w15:restartNumberingAfterBreak="0">
    <w:nsid w:val="452445A0"/>
    <w:multiLevelType w:val="hybridMultilevel"/>
    <w:tmpl w:val="426EED86"/>
    <w:lvl w:ilvl="0" w:tplc="8BBC4C16">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45D135CE"/>
    <w:multiLevelType w:val="multilevel"/>
    <w:tmpl w:val="2B84F5D8"/>
    <w:lvl w:ilvl="0">
      <w:start w:val="1"/>
      <w:numFmt w:val="upperRoman"/>
      <w:lvlText w:val="%1. "/>
      <w:legacy w:legacy="1" w:legacySpace="0" w:legacyIndent="283"/>
      <w:lvlJc w:val="left"/>
      <w:pPr>
        <w:ind w:left="283" w:hanging="283"/>
      </w:pPr>
      <w:rPr>
        <w:rFonts w:ascii="Arial" w:hAnsi="Arial" w:hint="default"/>
        <w:b w:val="0"/>
        <w:i w:val="0"/>
        <w:sz w:val="22"/>
        <w:u w:val="none"/>
      </w:rPr>
    </w:lvl>
    <w:lvl w:ilvl="1">
      <w:start w:val="1"/>
      <w:numFmt w:val="lowerLetter"/>
      <w:lvlText w:val="%2)"/>
      <w:lvlJc w:val="left"/>
      <w:pPr>
        <w:tabs>
          <w:tab w:val="num" w:pos="1440"/>
        </w:tabs>
        <w:ind w:left="1440" w:hanging="360"/>
      </w:pPr>
      <w:rPr>
        <w:rFonts w:ascii="Arial" w:hAnsi="Arial" w:hint="default"/>
        <w:b/>
        <w:i w:val="0"/>
        <w:color w:val="auto"/>
        <w:sz w:val="24"/>
        <w:szCs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BB61B6"/>
    <w:multiLevelType w:val="hybridMultilevel"/>
    <w:tmpl w:val="9A58A0C6"/>
    <w:lvl w:ilvl="0" w:tplc="B9BCE55C">
      <w:start w:val="3"/>
      <w:numFmt w:val="upperRoman"/>
      <w:lvlText w:val="%1. "/>
      <w:lvlJc w:val="left"/>
      <w:pPr>
        <w:ind w:left="1703" w:hanging="283"/>
      </w:pPr>
      <w:rPr>
        <w:rFonts w:ascii="Arial" w:hAnsi="Arial" w:hint="default"/>
        <w:b w:val="0"/>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EF535E"/>
    <w:multiLevelType w:val="hybridMultilevel"/>
    <w:tmpl w:val="FFB0B6B2"/>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7" w15:restartNumberingAfterBreak="0">
    <w:nsid w:val="4EB7195F"/>
    <w:multiLevelType w:val="hybridMultilevel"/>
    <w:tmpl w:val="33BE6B94"/>
    <w:lvl w:ilvl="0" w:tplc="2CB0A0FA">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084157C"/>
    <w:multiLevelType w:val="hybridMultilevel"/>
    <w:tmpl w:val="E53CAEDC"/>
    <w:lvl w:ilvl="0" w:tplc="045A5FA6">
      <w:start w:val="1"/>
      <w:numFmt w:val="lowerRoman"/>
      <w:lvlText w:val="(%1)"/>
      <w:lvlJc w:val="left"/>
      <w:pPr>
        <w:ind w:left="1430" w:hanging="72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1190208"/>
    <w:multiLevelType w:val="hybridMultilevel"/>
    <w:tmpl w:val="4A6C89A2"/>
    <w:lvl w:ilvl="0" w:tplc="ACC6C7C6">
      <w:start w:val="2"/>
      <w:numFmt w:val="upperRoman"/>
      <w:lvlText w:val="I%1. "/>
      <w:lvlJc w:val="left"/>
      <w:pPr>
        <w:tabs>
          <w:tab w:val="num" w:pos="720"/>
        </w:tabs>
        <w:ind w:left="283" w:hanging="283"/>
      </w:pPr>
      <w:rPr>
        <w:rFonts w:ascii="Arial" w:hAnsi="Arial" w:hint="default"/>
        <w:b w:val="0"/>
        <w:i w:val="0"/>
        <w:sz w:val="22"/>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33430EF"/>
    <w:multiLevelType w:val="hybridMultilevel"/>
    <w:tmpl w:val="16063102"/>
    <w:lvl w:ilvl="0" w:tplc="28769392">
      <w:start w:val="1"/>
      <w:numFmt w:val="lowerLetter"/>
      <w:lvlText w:val="%1)"/>
      <w:lvlJc w:val="left"/>
      <w:pPr>
        <w:tabs>
          <w:tab w:val="num" w:pos="360"/>
        </w:tabs>
        <w:ind w:left="360" w:hanging="360"/>
      </w:pPr>
      <w:rPr>
        <w:rFonts w:ascii="Arial (W1)" w:hAnsi="Arial (W1)" w:hint="default"/>
        <w:b w:val="0"/>
        <w:i w:val="0"/>
        <w:sz w:val="24"/>
        <w:szCs w:val="24"/>
      </w:rPr>
    </w:lvl>
    <w:lvl w:ilvl="1" w:tplc="04160019" w:tentative="1">
      <w:start w:val="1"/>
      <w:numFmt w:val="lowerLetter"/>
      <w:lvlText w:val="%2."/>
      <w:lvlJc w:val="left"/>
      <w:pPr>
        <w:tabs>
          <w:tab w:val="num" w:pos="588"/>
        </w:tabs>
        <w:ind w:left="588" w:hanging="360"/>
      </w:pPr>
    </w:lvl>
    <w:lvl w:ilvl="2" w:tplc="0416001B" w:tentative="1">
      <w:start w:val="1"/>
      <w:numFmt w:val="lowerRoman"/>
      <w:lvlText w:val="%3."/>
      <w:lvlJc w:val="right"/>
      <w:pPr>
        <w:tabs>
          <w:tab w:val="num" w:pos="1308"/>
        </w:tabs>
        <w:ind w:left="1308" w:hanging="180"/>
      </w:pPr>
    </w:lvl>
    <w:lvl w:ilvl="3" w:tplc="0416000F" w:tentative="1">
      <w:start w:val="1"/>
      <w:numFmt w:val="decimal"/>
      <w:lvlText w:val="%4."/>
      <w:lvlJc w:val="left"/>
      <w:pPr>
        <w:tabs>
          <w:tab w:val="num" w:pos="2028"/>
        </w:tabs>
        <w:ind w:left="2028" w:hanging="360"/>
      </w:pPr>
    </w:lvl>
    <w:lvl w:ilvl="4" w:tplc="04160019" w:tentative="1">
      <w:start w:val="1"/>
      <w:numFmt w:val="lowerLetter"/>
      <w:lvlText w:val="%5."/>
      <w:lvlJc w:val="left"/>
      <w:pPr>
        <w:tabs>
          <w:tab w:val="num" w:pos="2748"/>
        </w:tabs>
        <w:ind w:left="2748" w:hanging="360"/>
      </w:pPr>
    </w:lvl>
    <w:lvl w:ilvl="5" w:tplc="0416001B" w:tentative="1">
      <w:start w:val="1"/>
      <w:numFmt w:val="lowerRoman"/>
      <w:lvlText w:val="%6."/>
      <w:lvlJc w:val="right"/>
      <w:pPr>
        <w:tabs>
          <w:tab w:val="num" w:pos="3468"/>
        </w:tabs>
        <w:ind w:left="3468" w:hanging="180"/>
      </w:pPr>
    </w:lvl>
    <w:lvl w:ilvl="6" w:tplc="0416000F" w:tentative="1">
      <w:start w:val="1"/>
      <w:numFmt w:val="decimal"/>
      <w:lvlText w:val="%7."/>
      <w:lvlJc w:val="left"/>
      <w:pPr>
        <w:tabs>
          <w:tab w:val="num" w:pos="4188"/>
        </w:tabs>
        <w:ind w:left="4188" w:hanging="360"/>
      </w:pPr>
    </w:lvl>
    <w:lvl w:ilvl="7" w:tplc="04160019" w:tentative="1">
      <w:start w:val="1"/>
      <w:numFmt w:val="lowerLetter"/>
      <w:lvlText w:val="%8."/>
      <w:lvlJc w:val="left"/>
      <w:pPr>
        <w:tabs>
          <w:tab w:val="num" w:pos="4908"/>
        </w:tabs>
        <w:ind w:left="4908" w:hanging="360"/>
      </w:pPr>
    </w:lvl>
    <w:lvl w:ilvl="8" w:tplc="0416001B" w:tentative="1">
      <w:start w:val="1"/>
      <w:numFmt w:val="lowerRoman"/>
      <w:lvlText w:val="%9."/>
      <w:lvlJc w:val="right"/>
      <w:pPr>
        <w:tabs>
          <w:tab w:val="num" w:pos="5628"/>
        </w:tabs>
        <w:ind w:left="5628" w:hanging="180"/>
      </w:pPr>
    </w:lvl>
  </w:abstractNum>
  <w:abstractNum w:abstractNumId="31" w15:restartNumberingAfterBreak="0">
    <w:nsid w:val="53C02ED3"/>
    <w:multiLevelType w:val="hybridMultilevel"/>
    <w:tmpl w:val="99C6E8AC"/>
    <w:lvl w:ilvl="0" w:tplc="20C69CDE">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59124FFB"/>
    <w:multiLevelType w:val="singleLevel"/>
    <w:tmpl w:val="AE34A0B8"/>
    <w:lvl w:ilvl="0">
      <w:start w:val="1"/>
      <w:numFmt w:val="upperRoman"/>
      <w:lvlText w:val="%1. "/>
      <w:legacy w:legacy="1" w:legacySpace="0" w:legacyIndent="283"/>
      <w:lvlJc w:val="left"/>
      <w:pPr>
        <w:ind w:left="283" w:hanging="283"/>
      </w:pPr>
      <w:rPr>
        <w:rFonts w:ascii="Arial" w:hAnsi="Arial" w:hint="default"/>
        <w:b w:val="0"/>
        <w:i w:val="0"/>
        <w:sz w:val="22"/>
        <w:u w:val="none"/>
      </w:rPr>
    </w:lvl>
  </w:abstractNum>
  <w:abstractNum w:abstractNumId="33" w15:restartNumberingAfterBreak="0">
    <w:nsid w:val="598927AE"/>
    <w:multiLevelType w:val="hybridMultilevel"/>
    <w:tmpl w:val="DC6CBCC8"/>
    <w:lvl w:ilvl="0" w:tplc="F962CAAC">
      <w:start w:val="3"/>
      <w:numFmt w:val="lowerLetter"/>
      <w:lvlText w:val="%1)"/>
      <w:lvlJc w:val="left"/>
      <w:pPr>
        <w:tabs>
          <w:tab w:val="num" w:pos="1780"/>
        </w:tabs>
        <w:ind w:left="1780" w:hanging="360"/>
      </w:pPr>
      <w:rPr>
        <w:rFonts w:ascii="Arial" w:hAnsi="Arial" w:hint="default"/>
        <w:b w:val="0"/>
        <w:i w:val="0"/>
        <w:color w:val="auto"/>
        <w:sz w:val="24"/>
        <w:szCs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9529DE"/>
    <w:multiLevelType w:val="singleLevel"/>
    <w:tmpl w:val="AE34A0B8"/>
    <w:lvl w:ilvl="0">
      <w:start w:val="2"/>
      <w:numFmt w:val="upperRoman"/>
      <w:lvlText w:val="%1. "/>
      <w:legacy w:legacy="1" w:legacySpace="0" w:legacyIndent="283"/>
      <w:lvlJc w:val="left"/>
      <w:pPr>
        <w:ind w:left="283" w:hanging="283"/>
      </w:pPr>
      <w:rPr>
        <w:rFonts w:ascii="Arial" w:hAnsi="Arial" w:hint="default"/>
        <w:b w:val="0"/>
        <w:i w:val="0"/>
        <w:sz w:val="22"/>
        <w:u w:val="none"/>
      </w:rPr>
    </w:lvl>
  </w:abstractNum>
  <w:abstractNum w:abstractNumId="35" w15:restartNumberingAfterBreak="0">
    <w:nsid w:val="5D61298E"/>
    <w:multiLevelType w:val="hybridMultilevel"/>
    <w:tmpl w:val="E850077C"/>
    <w:lvl w:ilvl="0" w:tplc="78F27958">
      <w:start w:val="2"/>
      <w:numFmt w:val="lowerLetter"/>
      <w:lvlText w:val="%1)"/>
      <w:lvlJc w:val="left"/>
      <w:pPr>
        <w:tabs>
          <w:tab w:val="num" w:pos="2860"/>
        </w:tabs>
        <w:ind w:left="2860" w:hanging="360"/>
      </w:pPr>
      <w:rPr>
        <w:rFonts w:ascii="Arial" w:hAnsi="Arial" w:hint="default"/>
        <w:b w:val="0"/>
        <w:i w:val="0"/>
        <w:color w:val="auto"/>
        <w:sz w:val="24"/>
        <w:szCs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5063FF"/>
    <w:multiLevelType w:val="hybridMultilevel"/>
    <w:tmpl w:val="72A8FC9C"/>
    <w:lvl w:ilvl="0" w:tplc="9CC2541A">
      <w:start w:val="1"/>
      <w:numFmt w:val="upperRoman"/>
      <w:lvlText w:val="%1. "/>
      <w:lvlJc w:val="left"/>
      <w:pPr>
        <w:tabs>
          <w:tab w:val="num" w:pos="0"/>
        </w:tabs>
        <w:ind w:left="283" w:hanging="283"/>
      </w:pPr>
      <w:rPr>
        <w:rFonts w:ascii="Arial" w:hAnsi="Arial" w:hint="default"/>
        <w:b w:val="0"/>
        <w:i w:val="0"/>
        <w:strike w:val="0"/>
        <w:sz w:val="22"/>
        <w:u w:val="none"/>
      </w:rPr>
    </w:lvl>
    <w:lvl w:ilvl="1" w:tplc="04160019">
      <w:start w:val="1"/>
      <w:numFmt w:val="lowerLetter"/>
      <w:lvlText w:val="%2."/>
      <w:lvlJc w:val="left"/>
      <w:pPr>
        <w:tabs>
          <w:tab w:val="num" w:pos="1440"/>
        </w:tabs>
        <w:ind w:left="1440" w:hanging="360"/>
      </w:pPr>
    </w:lvl>
    <w:lvl w:ilvl="2" w:tplc="CABE8F68">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FA45E73"/>
    <w:multiLevelType w:val="hybridMultilevel"/>
    <w:tmpl w:val="3AA0615A"/>
    <w:lvl w:ilvl="0" w:tplc="44969B74">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8" w15:restartNumberingAfterBreak="0">
    <w:nsid w:val="612F0520"/>
    <w:multiLevelType w:val="hybridMultilevel"/>
    <w:tmpl w:val="426EED86"/>
    <w:lvl w:ilvl="0" w:tplc="8BBC4C1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64B94F96"/>
    <w:multiLevelType w:val="hybridMultilevel"/>
    <w:tmpl w:val="33AE18CA"/>
    <w:lvl w:ilvl="0" w:tplc="12049666">
      <w:start w:val="1"/>
      <w:numFmt w:val="upperRoman"/>
      <w:lvlText w:val="%1."/>
      <w:lvlJc w:val="right"/>
      <w:pPr>
        <w:tabs>
          <w:tab w:val="num" w:pos="180"/>
        </w:tabs>
        <w:ind w:left="180" w:hanging="180"/>
      </w:pPr>
      <w:rPr>
        <w:rFonts w:hint="default"/>
        <w:sz w:val="22"/>
        <w:szCs w:val="22"/>
      </w:rPr>
    </w:lvl>
    <w:lvl w:ilvl="1" w:tplc="3E8E4176">
      <w:start w:val="1"/>
      <w:numFmt w:val="lowerLetter"/>
      <w:lvlText w:val="%2)"/>
      <w:lvlJc w:val="left"/>
      <w:pPr>
        <w:tabs>
          <w:tab w:val="num" w:pos="900"/>
        </w:tabs>
        <w:ind w:left="900" w:hanging="360"/>
      </w:pPr>
      <w:rPr>
        <w:rFonts w:ascii="Arial" w:hAnsi="Arial" w:hint="default"/>
        <w:b w:val="0"/>
        <w:i w:val="0"/>
        <w:sz w:val="22"/>
        <w:szCs w:val="22"/>
      </w:rPr>
    </w:lvl>
    <w:lvl w:ilvl="2" w:tplc="0416001B">
      <w:start w:val="1"/>
      <w:numFmt w:val="lowerRoman"/>
      <w:lvlText w:val="%3."/>
      <w:lvlJc w:val="right"/>
      <w:pPr>
        <w:tabs>
          <w:tab w:val="num" w:pos="1620"/>
        </w:tabs>
        <w:ind w:left="1620" w:hanging="180"/>
      </w:pPr>
    </w:lvl>
    <w:lvl w:ilvl="3" w:tplc="0416000F">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40" w15:restartNumberingAfterBreak="0">
    <w:nsid w:val="65BD59BD"/>
    <w:multiLevelType w:val="hybridMultilevel"/>
    <w:tmpl w:val="426EED86"/>
    <w:lvl w:ilvl="0" w:tplc="8BBC4C1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67492867"/>
    <w:multiLevelType w:val="hybridMultilevel"/>
    <w:tmpl w:val="882A5B28"/>
    <w:lvl w:ilvl="0" w:tplc="E556C4AE">
      <w:start w:val="25"/>
      <w:numFmt w:val="upperRoman"/>
      <w:lvlText w:val="%1. "/>
      <w:lvlJc w:val="left"/>
      <w:pPr>
        <w:tabs>
          <w:tab w:val="num" w:pos="0"/>
        </w:tabs>
        <w:ind w:left="283" w:hanging="283"/>
      </w:pPr>
      <w:rPr>
        <w:rFonts w:ascii="Arial" w:hAnsi="Arial" w:hint="default"/>
        <w:b w:val="0"/>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78D6AF9"/>
    <w:multiLevelType w:val="multilevel"/>
    <w:tmpl w:val="43708FCA"/>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16"/>
        </w:tabs>
        <w:ind w:left="716" w:hanging="432"/>
      </w:pPr>
      <w:rPr>
        <w:rFonts w:hint="default"/>
        <w:b/>
        <w:i w:val="0"/>
        <w:sz w:val="24"/>
        <w:szCs w:val="24"/>
      </w:rPr>
    </w:lvl>
    <w:lvl w:ilvl="2">
      <w:start w:val="1"/>
      <w:numFmt w:val="decimal"/>
      <w:lvlText w:val="%1.%2.%3."/>
      <w:lvlJc w:val="left"/>
      <w:pPr>
        <w:tabs>
          <w:tab w:val="num" w:pos="2564"/>
        </w:tabs>
        <w:ind w:left="2348" w:hanging="504"/>
      </w:pPr>
      <w:rPr>
        <w:rFonts w:ascii="Arial" w:hAnsi="Arial" w:cs="Arial" w:hint="default"/>
        <w:b/>
        <w:i w:val="0"/>
        <w:color w:val="auto"/>
        <w:sz w:val="24"/>
        <w:szCs w:val="24"/>
      </w:rPr>
    </w:lvl>
    <w:lvl w:ilvl="3">
      <w:start w:val="1"/>
      <w:numFmt w:val="decimal"/>
      <w:lvlText w:val="%1.%2.%3.%4."/>
      <w:lvlJc w:val="left"/>
      <w:pPr>
        <w:tabs>
          <w:tab w:val="num" w:pos="3349"/>
        </w:tabs>
        <w:ind w:left="2917" w:hanging="648"/>
      </w:pPr>
      <w:rPr>
        <w:rFonts w:hint="default"/>
        <w:b/>
        <w:i w:val="0"/>
      </w:rPr>
    </w:lvl>
    <w:lvl w:ilvl="4">
      <w:start w:val="1"/>
      <w:numFmt w:val="decimal"/>
      <w:lvlText w:val="%1.%2.%3.%4.1."/>
      <w:lvlJc w:val="left"/>
      <w:pPr>
        <w:tabs>
          <w:tab w:val="num" w:pos="2520"/>
        </w:tabs>
        <w:ind w:left="2232" w:hanging="792"/>
      </w:pPr>
      <w:rPr>
        <w:rFonts w:hint="default"/>
        <w:b/>
        <w:i w:val="0"/>
        <w:color w:val="auto"/>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6C245FAE"/>
    <w:multiLevelType w:val="hybridMultilevel"/>
    <w:tmpl w:val="C6880848"/>
    <w:lvl w:ilvl="0" w:tplc="24703968">
      <w:start w:val="20"/>
      <w:numFmt w:val="upperRoman"/>
      <w:lvlText w:val="%1. "/>
      <w:lvlJc w:val="left"/>
      <w:pPr>
        <w:tabs>
          <w:tab w:val="num" w:pos="0"/>
        </w:tabs>
        <w:ind w:left="283" w:hanging="283"/>
      </w:pPr>
      <w:rPr>
        <w:rFonts w:ascii="Arial" w:hAnsi="Arial" w:hint="default"/>
        <w:b w:val="0"/>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3E4F9D"/>
    <w:multiLevelType w:val="singleLevel"/>
    <w:tmpl w:val="0B4CA02E"/>
    <w:lvl w:ilvl="0">
      <w:start w:val="1"/>
      <w:numFmt w:val="upperRoman"/>
      <w:lvlText w:val="%1. "/>
      <w:legacy w:legacy="1" w:legacySpace="0" w:legacyIndent="283"/>
      <w:lvlJc w:val="left"/>
      <w:pPr>
        <w:ind w:left="283" w:hanging="283"/>
      </w:pPr>
      <w:rPr>
        <w:rFonts w:ascii="Arial" w:hAnsi="Arial" w:hint="default"/>
        <w:b w:val="0"/>
        <w:i w:val="0"/>
        <w:sz w:val="22"/>
        <w:u w:val="none"/>
      </w:rPr>
    </w:lvl>
  </w:abstractNum>
  <w:abstractNum w:abstractNumId="45" w15:restartNumberingAfterBreak="0">
    <w:nsid w:val="716578C8"/>
    <w:multiLevelType w:val="multilevel"/>
    <w:tmpl w:val="C526C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30C745E"/>
    <w:multiLevelType w:val="hybridMultilevel"/>
    <w:tmpl w:val="D5A24E60"/>
    <w:lvl w:ilvl="0" w:tplc="AE34A0B8">
      <w:start w:val="1"/>
      <w:numFmt w:val="upperRoman"/>
      <w:lvlText w:val="%1. "/>
      <w:legacy w:legacy="1" w:legacySpace="0" w:legacyIndent="283"/>
      <w:lvlJc w:val="left"/>
      <w:pPr>
        <w:ind w:left="1703" w:hanging="283"/>
      </w:pPr>
      <w:rPr>
        <w:rFonts w:ascii="Arial" w:hAnsi="Arial" w:hint="default"/>
        <w:b w:val="0"/>
        <w:i w:val="0"/>
        <w:sz w:val="22"/>
        <w:u w:val="none"/>
      </w:rPr>
    </w:lvl>
    <w:lvl w:ilvl="1" w:tplc="16E6C72C">
      <w:start w:val="1"/>
      <w:numFmt w:val="lowerLetter"/>
      <w:lvlText w:val="%2)"/>
      <w:lvlJc w:val="left"/>
      <w:pPr>
        <w:tabs>
          <w:tab w:val="num" w:pos="2860"/>
        </w:tabs>
        <w:ind w:left="2860" w:hanging="360"/>
      </w:pPr>
      <w:rPr>
        <w:rFonts w:ascii="Arial" w:hAnsi="Arial" w:hint="default"/>
        <w:b w:val="0"/>
        <w:i w:val="0"/>
        <w:color w:val="auto"/>
        <w:sz w:val="24"/>
        <w:szCs w:val="24"/>
        <w:u w:val="none"/>
      </w:rPr>
    </w:lvl>
    <w:lvl w:ilvl="2" w:tplc="37AE70E6">
      <w:start w:val="1"/>
      <w:numFmt w:val="lowerRoman"/>
      <w:lvlText w:val="%3."/>
      <w:lvlJc w:val="left"/>
      <w:pPr>
        <w:tabs>
          <w:tab w:val="num" w:pos="3580"/>
        </w:tabs>
        <w:ind w:left="3580" w:hanging="180"/>
      </w:pPr>
      <w:rPr>
        <w:rFonts w:hint="default"/>
      </w:rPr>
    </w:lvl>
    <w:lvl w:ilvl="3" w:tplc="0416000F" w:tentative="1">
      <w:start w:val="1"/>
      <w:numFmt w:val="decimal"/>
      <w:lvlText w:val="%4."/>
      <w:lvlJc w:val="left"/>
      <w:pPr>
        <w:tabs>
          <w:tab w:val="num" w:pos="4300"/>
        </w:tabs>
        <w:ind w:left="4300" w:hanging="360"/>
      </w:pPr>
    </w:lvl>
    <w:lvl w:ilvl="4" w:tplc="04160019" w:tentative="1">
      <w:start w:val="1"/>
      <w:numFmt w:val="lowerLetter"/>
      <w:lvlText w:val="%5."/>
      <w:lvlJc w:val="left"/>
      <w:pPr>
        <w:tabs>
          <w:tab w:val="num" w:pos="5020"/>
        </w:tabs>
        <w:ind w:left="5020" w:hanging="360"/>
      </w:pPr>
    </w:lvl>
    <w:lvl w:ilvl="5" w:tplc="0416001B" w:tentative="1">
      <w:start w:val="1"/>
      <w:numFmt w:val="lowerRoman"/>
      <w:lvlText w:val="%6."/>
      <w:lvlJc w:val="right"/>
      <w:pPr>
        <w:tabs>
          <w:tab w:val="num" w:pos="5740"/>
        </w:tabs>
        <w:ind w:left="5740" w:hanging="180"/>
      </w:pPr>
    </w:lvl>
    <w:lvl w:ilvl="6" w:tplc="0416000F" w:tentative="1">
      <w:start w:val="1"/>
      <w:numFmt w:val="decimal"/>
      <w:lvlText w:val="%7."/>
      <w:lvlJc w:val="left"/>
      <w:pPr>
        <w:tabs>
          <w:tab w:val="num" w:pos="6460"/>
        </w:tabs>
        <w:ind w:left="6460" w:hanging="360"/>
      </w:pPr>
    </w:lvl>
    <w:lvl w:ilvl="7" w:tplc="04160019" w:tentative="1">
      <w:start w:val="1"/>
      <w:numFmt w:val="lowerLetter"/>
      <w:lvlText w:val="%8."/>
      <w:lvlJc w:val="left"/>
      <w:pPr>
        <w:tabs>
          <w:tab w:val="num" w:pos="7180"/>
        </w:tabs>
        <w:ind w:left="7180" w:hanging="360"/>
      </w:pPr>
    </w:lvl>
    <w:lvl w:ilvl="8" w:tplc="0416001B" w:tentative="1">
      <w:start w:val="1"/>
      <w:numFmt w:val="lowerRoman"/>
      <w:lvlText w:val="%9."/>
      <w:lvlJc w:val="right"/>
      <w:pPr>
        <w:tabs>
          <w:tab w:val="num" w:pos="7900"/>
        </w:tabs>
        <w:ind w:left="7900" w:hanging="180"/>
      </w:pPr>
    </w:lvl>
  </w:abstractNum>
  <w:abstractNum w:abstractNumId="47" w15:restartNumberingAfterBreak="0">
    <w:nsid w:val="781625E7"/>
    <w:multiLevelType w:val="hybridMultilevel"/>
    <w:tmpl w:val="FFB0B6B2"/>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48" w15:restartNumberingAfterBreak="0">
    <w:nsid w:val="7A8F0548"/>
    <w:multiLevelType w:val="hybridMultilevel"/>
    <w:tmpl w:val="FFB0B6B2"/>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49" w15:restartNumberingAfterBreak="0">
    <w:nsid w:val="7BD72EFA"/>
    <w:multiLevelType w:val="hybridMultilevel"/>
    <w:tmpl w:val="DEAC208C"/>
    <w:lvl w:ilvl="0" w:tplc="7EDE947C">
      <w:start w:val="23"/>
      <w:numFmt w:val="upperRoman"/>
      <w:lvlText w:val="%1. "/>
      <w:lvlJc w:val="left"/>
      <w:pPr>
        <w:tabs>
          <w:tab w:val="num" w:pos="0"/>
        </w:tabs>
        <w:ind w:left="283" w:hanging="283"/>
      </w:pPr>
      <w:rPr>
        <w:rFonts w:ascii="Arial" w:hAnsi="Arial" w:hint="default"/>
        <w:b w:val="0"/>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C2F5A75"/>
    <w:multiLevelType w:val="singleLevel"/>
    <w:tmpl w:val="FD72CCC2"/>
    <w:lvl w:ilvl="0">
      <w:start w:val="1"/>
      <w:numFmt w:val="upperRoman"/>
      <w:lvlText w:val="%1."/>
      <w:legacy w:legacy="1" w:legacySpace="0" w:legacyIndent="283"/>
      <w:lvlJc w:val="left"/>
      <w:pPr>
        <w:ind w:left="283" w:hanging="283"/>
      </w:pPr>
    </w:lvl>
  </w:abstractNum>
  <w:abstractNum w:abstractNumId="51" w15:restartNumberingAfterBreak="0">
    <w:nsid w:val="7E3C1856"/>
    <w:multiLevelType w:val="hybridMultilevel"/>
    <w:tmpl w:val="426EED86"/>
    <w:lvl w:ilvl="0" w:tplc="8BBC4C1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308217048">
    <w:abstractNumId w:val="17"/>
  </w:num>
  <w:num w:numId="2" w16cid:durableId="1632786840">
    <w:abstractNumId w:val="15"/>
  </w:num>
  <w:num w:numId="3" w16cid:durableId="523633498">
    <w:abstractNumId w:val="30"/>
  </w:num>
  <w:num w:numId="4" w16cid:durableId="249121851">
    <w:abstractNumId w:val="36"/>
  </w:num>
  <w:num w:numId="5" w16cid:durableId="108159594">
    <w:abstractNumId w:val="15"/>
    <w:lvlOverride w:ilvl="0">
      <w:startOverride w:val="1"/>
    </w:lvlOverride>
  </w:num>
  <w:num w:numId="6" w16cid:durableId="1161384370">
    <w:abstractNumId w:val="19"/>
  </w:num>
  <w:num w:numId="7" w16cid:durableId="2797242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273579">
    <w:abstractNumId w:val="50"/>
    <w:lvlOverride w:ilvl="0">
      <w:startOverride w:val="1"/>
    </w:lvlOverride>
  </w:num>
  <w:num w:numId="9" w16cid:durableId="6937258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9064782">
    <w:abstractNumId w:val="46"/>
  </w:num>
  <w:num w:numId="11" w16cid:durableId="103307559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6184233">
    <w:abstractNumId w:val="23"/>
  </w:num>
  <w:num w:numId="13" w16cid:durableId="325010538">
    <w:abstractNumId w:val="14"/>
  </w:num>
  <w:num w:numId="14" w16cid:durableId="356271242">
    <w:abstractNumId w:val="43"/>
  </w:num>
  <w:num w:numId="15" w16cid:durableId="1447652979">
    <w:abstractNumId w:val="51"/>
  </w:num>
  <w:num w:numId="16" w16cid:durableId="810638047">
    <w:abstractNumId w:val="21"/>
  </w:num>
  <w:num w:numId="17" w16cid:durableId="1686519394">
    <w:abstractNumId w:val="38"/>
  </w:num>
  <w:num w:numId="18" w16cid:durableId="443615815">
    <w:abstractNumId w:val="40"/>
  </w:num>
  <w:num w:numId="19" w16cid:durableId="2012416653">
    <w:abstractNumId w:val="12"/>
  </w:num>
  <w:num w:numId="20" w16cid:durableId="1499076384">
    <w:abstractNumId w:val="7"/>
  </w:num>
  <w:num w:numId="21" w16cid:durableId="2058047951">
    <w:abstractNumId w:val="37"/>
  </w:num>
  <w:num w:numId="22" w16cid:durableId="1836914301">
    <w:abstractNumId w:val="28"/>
  </w:num>
  <w:num w:numId="23" w16cid:durableId="90705042">
    <w:abstractNumId w:val="22"/>
  </w:num>
  <w:num w:numId="24" w16cid:durableId="1823614520">
    <w:abstractNumId w:val="22"/>
    <w:lvlOverride w:ilvl="0">
      <w:lvl w:ilvl="0">
        <w:start w:val="1"/>
        <w:numFmt w:val="upperRoman"/>
        <w:lvlText w:val="%1."/>
        <w:legacy w:legacy="1" w:legacySpace="0" w:legacyIndent="283"/>
        <w:lvlJc w:val="left"/>
        <w:pPr>
          <w:ind w:left="283" w:hanging="283"/>
        </w:pPr>
      </w:lvl>
    </w:lvlOverride>
  </w:num>
  <w:num w:numId="25" w16cid:durableId="1380545631">
    <w:abstractNumId w:val="44"/>
  </w:num>
  <w:num w:numId="26" w16cid:durableId="864488668">
    <w:abstractNumId w:val="34"/>
  </w:num>
  <w:num w:numId="27" w16cid:durableId="878862214">
    <w:abstractNumId w:val="34"/>
    <w:lvlOverride w:ilvl="0">
      <w:lvl w:ilvl="0">
        <w:start w:val="1"/>
        <w:numFmt w:val="upperRoman"/>
        <w:lvlText w:val="%1. "/>
        <w:legacy w:legacy="1" w:legacySpace="0" w:legacyIndent="283"/>
        <w:lvlJc w:val="left"/>
        <w:pPr>
          <w:ind w:left="283" w:hanging="283"/>
        </w:pPr>
        <w:rPr>
          <w:rFonts w:ascii="Arial" w:hAnsi="Arial" w:hint="default"/>
          <w:b w:val="0"/>
          <w:i w:val="0"/>
          <w:sz w:val="22"/>
          <w:u w:val="none"/>
        </w:rPr>
      </w:lvl>
    </w:lvlOverride>
  </w:num>
  <w:num w:numId="28" w16cid:durableId="847714116">
    <w:abstractNumId w:val="29"/>
  </w:num>
  <w:num w:numId="29" w16cid:durableId="1752002195">
    <w:abstractNumId w:val="3"/>
  </w:num>
  <w:num w:numId="30" w16cid:durableId="1221676489">
    <w:abstractNumId w:val="24"/>
  </w:num>
  <w:num w:numId="31" w16cid:durableId="537550702">
    <w:abstractNumId w:val="39"/>
  </w:num>
  <w:num w:numId="32" w16cid:durableId="213125102">
    <w:abstractNumId w:val="35"/>
  </w:num>
  <w:num w:numId="33" w16cid:durableId="311644842">
    <w:abstractNumId w:val="34"/>
    <w:lvlOverride w:ilvl="0">
      <w:startOverride w:val="2"/>
    </w:lvlOverride>
  </w:num>
  <w:num w:numId="34" w16cid:durableId="340552267">
    <w:abstractNumId w:val="31"/>
  </w:num>
  <w:num w:numId="35" w16cid:durableId="894124902">
    <w:abstractNumId w:val="42"/>
  </w:num>
  <w:num w:numId="36" w16cid:durableId="272203256">
    <w:abstractNumId w:val="50"/>
  </w:num>
  <w:num w:numId="37" w16cid:durableId="1417432497">
    <w:abstractNumId w:val="6"/>
  </w:num>
  <w:num w:numId="38" w16cid:durableId="876703075">
    <w:abstractNumId w:val="41"/>
  </w:num>
  <w:num w:numId="39" w16cid:durableId="1283876609">
    <w:abstractNumId w:val="32"/>
  </w:num>
  <w:num w:numId="40" w16cid:durableId="483394664">
    <w:abstractNumId w:val="49"/>
  </w:num>
  <w:num w:numId="41" w16cid:durableId="478501160">
    <w:abstractNumId w:val="2"/>
  </w:num>
  <w:num w:numId="42" w16cid:durableId="2113355079">
    <w:abstractNumId w:val="11"/>
  </w:num>
  <w:num w:numId="43" w16cid:durableId="1450784824">
    <w:abstractNumId w:val="0"/>
  </w:num>
  <w:num w:numId="44" w16cid:durableId="821235705">
    <w:abstractNumId w:val="33"/>
  </w:num>
  <w:num w:numId="45" w16cid:durableId="754593584">
    <w:abstractNumId w:val="16"/>
  </w:num>
  <w:num w:numId="46" w16cid:durableId="380906335">
    <w:abstractNumId w:val="25"/>
  </w:num>
  <w:num w:numId="47" w16cid:durableId="1749377995">
    <w:abstractNumId w:val="4"/>
  </w:num>
  <w:num w:numId="48" w16cid:durableId="729185614">
    <w:abstractNumId w:val="18"/>
  </w:num>
  <w:num w:numId="49" w16cid:durableId="229659419">
    <w:abstractNumId w:val="20"/>
  </w:num>
  <w:num w:numId="50" w16cid:durableId="1819419202">
    <w:abstractNumId w:val="8"/>
  </w:num>
  <w:num w:numId="51" w16cid:durableId="455755865">
    <w:abstractNumId w:val="48"/>
  </w:num>
  <w:num w:numId="52" w16cid:durableId="1663384739">
    <w:abstractNumId w:val="47"/>
  </w:num>
  <w:num w:numId="53" w16cid:durableId="30234444">
    <w:abstractNumId w:val="1"/>
  </w:num>
  <w:num w:numId="54" w16cid:durableId="1486244894">
    <w:abstractNumId w:val="26"/>
  </w:num>
  <w:num w:numId="55" w16cid:durableId="1840580796">
    <w:abstractNumId w:val="5"/>
  </w:num>
  <w:num w:numId="56" w16cid:durableId="1994211112">
    <w:abstractNumId w:val="13"/>
  </w:num>
  <w:num w:numId="57" w16cid:durableId="1335719386">
    <w:abstractNumId w:val="27"/>
  </w:num>
  <w:num w:numId="58" w16cid:durableId="1197085457">
    <w:abstractNumId w:val="10"/>
  </w:num>
  <w:num w:numId="59" w16cid:durableId="2130005054">
    <w:abstractNumId w:val="45"/>
  </w:num>
  <w:num w:numId="60" w16cid:durableId="658926540">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5RPa7RPqVHoS/NLCqvnyH7XLemD1MP2EYW5bshyna+qyrHmHU0v/+whKeRd1iGZnbyhFH8fOw38l6Ma9ELaxQ==" w:salt="Qj8QSdvvhsblqApOrDsjk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45DC"/>
    <w:rsid w:val="00001FDA"/>
    <w:rsid w:val="00003432"/>
    <w:rsid w:val="00003AC6"/>
    <w:rsid w:val="00003F59"/>
    <w:rsid w:val="00006B09"/>
    <w:rsid w:val="00013387"/>
    <w:rsid w:val="0001398E"/>
    <w:rsid w:val="0001443A"/>
    <w:rsid w:val="00015009"/>
    <w:rsid w:val="000150FE"/>
    <w:rsid w:val="00017593"/>
    <w:rsid w:val="00020F35"/>
    <w:rsid w:val="00021B7C"/>
    <w:rsid w:val="00023143"/>
    <w:rsid w:val="00025397"/>
    <w:rsid w:val="00025815"/>
    <w:rsid w:val="000269C4"/>
    <w:rsid w:val="000326DC"/>
    <w:rsid w:val="00032E0B"/>
    <w:rsid w:val="0003562D"/>
    <w:rsid w:val="0003613A"/>
    <w:rsid w:val="00040030"/>
    <w:rsid w:val="00040D9B"/>
    <w:rsid w:val="00040F8E"/>
    <w:rsid w:val="0004184D"/>
    <w:rsid w:val="00043E6A"/>
    <w:rsid w:val="0004492F"/>
    <w:rsid w:val="00044EFA"/>
    <w:rsid w:val="00047873"/>
    <w:rsid w:val="00050EC3"/>
    <w:rsid w:val="00051C4D"/>
    <w:rsid w:val="000552AA"/>
    <w:rsid w:val="000557B5"/>
    <w:rsid w:val="0005591C"/>
    <w:rsid w:val="00055F18"/>
    <w:rsid w:val="00056E75"/>
    <w:rsid w:val="00060164"/>
    <w:rsid w:val="00061726"/>
    <w:rsid w:val="00062FAC"/>
    <w:rsid w:val="0006491F"/>
    <w:rsid w:val="00064FCE"/>
    <w:rsid w:val="000653AE"/>
    <w:rsid w:val="000664D2"/>
    <w:rsid w:val="00066E8E"/>
    <w:rsid w:val="00066FAB"/>
    <w:rsid w:val="00067636"/>
    <w:rsid w:val="00072AC0"/>
    <w:rsid w:val="00073307"/>
    <w:rsid w:val="00073AD2"/>
    <w:rsid w:val="0007423F"/>
    <w:rsid w:val="000745A1"/>
    <w:rsid w:val="000751E8"/>
    <w:rsid w:val="000755A4"/>
    <w:rsid w:val="00075E4C"/>
    <w:rsid w:val="00076038"/>
    <w:rsid w:val="000779DD"/>
    <w:rsid w:val="00077C69"/>
    <w:rsid w:val="00081017"/>
    <w:rsid w:val="00082FB2"/>
    <w:rsid w:val="000831E4"/>
    <w:rsid w:val="00084D19"/>
    <w:rsid w:val="00085A8A"/>
    <w:rsid w:val="000865CB"/>
    <w:rsid w:val="0008735A"/>
    <w:rsid w:val="00090E3F"/>
    <w:rsid w:val="00091F28"/>
    <w:rsid w:val="00091FEE"/>
    <w:rsid w:val="000940D9"/>
    <w:rsid w:val="000941AF"/>
    <w:rsid w:val="00094A90"/>
    <w:rsid w:val="00094CCA"/>
    <w:rsid w:val="000957A3"/>
    <w:rsid w:val="000961E3"/>
    <w:rsid w:val="000963DA"/>
    <w:rsid w:val="000967BF"/>
    <w:rsid w:val="00096977"/>
    <w:rsid w:val="00096F48"/>
    <w:rsid w:val="0009731C"/>
    <w:rsid w:val="00097347"/>
    <w:rsid w:val="000A031D"/>
    <w:rsid w:val="000A0665"/>
    <w:rsid w:val="000A0FC3"/>
    <w:rsid w:val="000A1095"/>
    <w:rsid w:val="000A2FF6"/>
    <w:rsid w:val="000A39EA"/>
    <w:rsid w:val="000A3BE3"/>
    <w:rsid w:val="000A3CA9"/>
    <w:rsid w:val="000A4887"/>
    <w:rsid w:val="000B0F06"/>
    <w:rsid w:val="000B14CC"/>
    <w:rsid w:val="000B4F95"/>
    <w:rsid w:val="000B6B3B"/>
    <w:rsid w:val="000C0935"/>
    <w:rsid w:val="000C108C"/>
    <w:rsid w:val="000C1A58"/>
    <w:rsid w:val="000C3E71"/>
    <w:rsid w:val="000C3F5B"/>
    <w:rsid w:val="000C52BE"/>
    <w:rsid w:val="000C555C"/>
    <w:rsid w:val="000C567A"/>
    <w:rsid w:val="000C6336"/>
    <w:rsid w:val="000C6372"/>
    <w:rsid w:val="000C6F75"/>
    <w:rsid w:val="000C6F9E"/>
    <w:rsid w:val="000C72E4"/>
    <w:rsid w:val="000C756B"/>
    <w:rsid w:val="000D00A3"/>
    <w:rsid w:val="000D15B4"/>
    <w:rsid w:val="000D5602"/>
    <w:rsid w:val="000D5B39"/>
    <w:rsid w:val="000D5B95"/>
    <w:rsid w:val="000D66BD"/>
    <w:rsid w:val="000E1546"/>
    <w:rsid w:val="000E1637"/>
    <w:rsid w:val="000E19EB"/>
    <w:rsid w:val="000E3455"/>
    <w:rsid w:val="000E434A"/>
    <w:rsid w:val="000E479E"/>
    <w:rsid w:val="000E6470"/>
    <w:rsid w:val="000E6E67"/>
    <w:rsid w:val="000F08AD"/>
    <w:rsid w:val="000F3E32"/>
    <w:rsid w:val="000F4EA3"/>
    <w:rsid w:val="000F53A6"/>
    <w:rsid w:val="000F672F"/>
    <w:rsid w:val="000F6A91"/>
    <w:rsid w:val="000F7222"/>
    <w:rsid w:val="00100249"/>
    <w:rsid w:val="00100CAB"/>
    <w:rsid w:val="00101302"/>
    <w:rsid w:val="001019D7"/>
    <w:rsid w:val="00103580"/>
    <w:rsid w:val="00105BDA"/>
    <w:rsid w:val="00106DF1"/>
    <w:rsid w:val="001113C3"/>
    <w:rsid w:val="00111695"/>
    <w:rsid w:val="00113637"/>
    <w:rsid w:val="00115ADB"/>
    <w:rsid w:val="00116043"/>
    <w:rsid w:val="00116443"/>
    <w:rsid w:val="001214F7"/>
    <w:rsid w:val="00123ED6"/>
    <w:rsid w:val="00126722"/>
    <w:rsid w:val="001269E7"/>
    <w:rsid w:val="001306C5"/>
    <w:rsid w:val="00130921"/>
    <w:rsid w:val="001312D2"/>
    <w:rsid w:val="00131DB2"/>
    <w:rsid w:val="0013360B"/>
    <w:rsid w:val="00133C63"/>
    <w:rsid w:val="00133EC2"/>
    <w:rsid w:val="00133FFB"/>
    <w:rsid w:val="00134980"/>
    <w:rsid w:val="0013691B"/>
    <w:rsid w:val="0013785D"/>
    <w:rsid w:val="001402F0"/>
    <w:rsid w:val="00140880"/>
    <w:rsid w:val="0014653B"/>
    <w:rsid w:val="00146633"/>
    <w:rsid w:val="00146692"/>
    <w:rsid w:val="001468B9"/>
    <w:rsid w:val="00146C0E"/>
    <w:rsid w:val="00146F8E"/>
    <w:rsid w:val="0015012C"/>
    <w:rsid w:val="001517C6"/>
    <w:rsid w:val="001520D4"/>
    <w:rsid w:val="00152DA7"/>
    <w:rsid w:val="00153A08"/>
    <w:rsid w:val="00153B44"/>
    <w:rsid w:val="00154AA9"/>
    <w:rsid w:val="001559FE"/>
    <w:rsid w:val="00156AA9"/>
    <w:rsid w:val="00156C2E"/>
    <w:rsid w:val="0016042E"/>
    <w:rsid w:val="001606E3"/>
    <w:rsid w:val="00161906"/>
    <w:rsid w:val="001645F0"/>
    <w:rsid w:val="0016486B"/>
    <w:rsid w:val="0016717E"/>
    <w:rsid w:val="00167221"/>
    <w:rsid w:val="00167B5B"/>
    <w:rsid w:val="0017024E"/>
    <w:rsid w:val="0017303B"/>
    <w:rsid w:val="001744ED"/>
    <w:rsid w:val="001748C0"/>
    <w:rsid w:val="00175A5A"/>
    <w:rsid w:val="0017657B"/>
    <w:rsid w:val="00176669"/>
    <w:rsid w:val="001769E2"/>
    <w:rsid w:val="0017738E"/>
    <w:rsid w:val="00180A6F"/>
    <w:rsid w:val="0018106F"/>
    <w:rsid w:val="00182BB5"/>
    <w:rsid w:val="0018382E"/>
    <w:rsid w:val="00184D57"/>
    <w:rsid w:val="0018576D"/>
    <w:rsid w:val="00185C02"/>
    <w:rsid w:val="00185FBC"/>
    <w:rsid w:val="0019183B"/>
    <w:rsid w:val="001944E1"/>
    <w:rsid w:val="00194763"/>
    <w:rsid w:val="0019531E"/>
    <w:rsid w:val="00196F1E"/>
    <w:rsid w:val="001977AD"/>
    <w:rsid w:val="00197C50"/>
    <w:rsid w:val="001A1F2C"/>
    <w:rsid w:val="001A2A64"/>
    <w:rsid w:val="001A2B8F"/>
    <w:rsid w:val="001A41A2"/>
    <w:rsid w:val="001A4392"/>
    <w:rsid w:val="001A5815"/>
    <w:rsid w:val="001A625D"/>
    <w:rsid w:val="001A66E4"/>
    <w:rsid w:val="001B0ED7"/>
    <w:rsid w:val="001B0FE5"/>
    <w:rsid w:val="001B332A"/>
    <w:rsid w:val="001B4207"/>
    <w:rsid w:val="001B46E6"/>
    <w:rsid w:val="001B4BE4"/>
    <w:rsid w:val="001B4E64"/>
    <w:rsid w:val="001B50DD"/>
    <w:rsid w:val="001B5E62"/>
    <w:rsid w:val="001C06DF"/>
    <w:rsid w:val="001C0DA2"/>
    <w:rsid w:val="001C109B"/>
    <w:rsid w:val="001C1629"/>
    <w:rsid w:val="001C2AC2"/>
    <w:rsid w:val="001C2CF4"/>
    <w:rsid w:val="001C2DBF"/>
    <w:rsid w:val="001C3320"/>
    <w:rsid w:val="001C5E57"/>
    <w:rsid w:val="001C67F9"/>
    <w:rsid w:val="001D04F2"/>
    <w:rsid w:val="001D70F1"/>
    <w:rsid w:val="001E1CB2"/>
    <w:rsid w:val="001E2039"/>
    <w:rsid w:val="001E2CE9"/>
    <w:rsid w:val="001E3DF8"/>
    <w:rsid w:val="001E4386"/>
    <w:rsid w:val="001E4735"/>
    <w:rsid w:val="001E66A7"/>
    <w:rsid w:val="001E77ED"/>
    <w:rsid w:val="001E792D"/>
    <w:rsid w:val="001F0963"/>
    <w:rsid w:val="001F3D20"/>
    <w:rsid w:val="001F65A2"/>
    <w:rsid w:val="001F750A"/>
    <w:rsid w:val="001F7A12"/>
    <w:rsid w:val="001F7A76"/>
    <w:rsid w:val="001F7E6A"/>
    <w:rsid w:val="0020078B"/>
    <w:rsid w:val="00202F9D"/>
    <w:rsid w:val="00206416"/>
    <w:rsid w:val="00211017"/>
    <w:rsid w:val="00211478"/>
    <w:rsid w:val="00211611"/>
    <w:rsid w:val="00211663"/>
    <w:rsid w:val="002119F9"/>
    <w:rsid w:val="00211B9F"/>
    <w:rsid w:val="00211FB9"/>
    <w:rsid w:val="0021350C"/>
    <w:rsid w:val="00213A81"/>
    <w:rsid w:val="002148F3"/>
    <w:rsid w:val="00220468"/>
    <w:rsid w:val="00221226"/>
    <w:rsid w:val="00221EE5"/>
    <w:rsid w:val="0022205C"/>
    <w:rsid w:val="0022284E"/>
    <w:rsid w:val="00224E85"/>
    <w:rsid w:val="0022629B"/>
    <w:rsid w:val="00226577"/>
    <w:rsid w:val="00226F14"/>
    <w:rsid w:val="002270BC"/>
    <w:rsid w:val="00227325"/>
    <w:rsid w:val="002279B5"/>
    <w:rsid w:val="00231BDD"/>
    <w:rsid w:val="00232B15"/>
    <w:rsid w:val="00232E63"/>
    <w:rsid w:val="00234279"/>
    <w:rsid w:val="00236F88"/>
    <w:rsid w:val="00242C6A"/>
    <w:rsid w:val="00244084"/>
    <w:rsid w:val="00244250"/>
    <w:rsid w:val="002445EF"/>
    <w:rsid w:val="00245E25"/>
    <w:rsid w:val="00245F06"/>
    <w:rsid w:val="00246AB0"/>
    <w:rsid w:val="00247FDF"/>
    <w:rsid w:val="00251AB8"/>
    <w:rsid w:val="0025267C"/>
    <w:rsid w:val="002531DE"/>
    <w:rsid w:val="00255054"/>
    <w:rsid w:val="002553F4"/>
    <w:rsid w:val="00255D0A"/>
    <w:rsid w:val="002611A1"/>
    <w:rsid w:val="00262030"/>
    <w:rsid w:val="002631B2"/>
    <w:rsid w:val="0026408D"/>
    <w:rsid w:val="0026490B"/>
    <w:rsid w:val="00265C53"/>
    <w:rsid w:val="00267D77"/>
    <w:rsid w:val="00267DF4"/>
    <w:rsid w:val="0027066C"/>
    <w:rsid w:val="0027162A"/>
    <w:rsid w:val="00271DB2"/>
    <w:rsid w:val="00272BFA"/>
    <w:rsid w:val="0027322C"/>
    <w:rsid w:val="002732A9"/>
    <w:rsid w:val="00273835"/>
    <w:rsid w:val="00273AB6"/>
    <w:rsid w:val="0027472D"/>
    <w:rsid w:val="002751EA"/>
    <w:rsid w:val="002800E5"/>
    <w:rsid w:val="002814E9"/>
    <w:rsid w:val="00282618"/>
    <w:rsid w:val="00282B51"/>
    <w:rsid w:val="002832EB"/>
    <w:rsid w:val="00283D51"/>
    <w:rsid w:val="00285A24"/>
    <w:rsid w:val="00285C57"/>
    <w:rsid w:val="00286CE6"/>
    <w:rsid w:val="00290BFB"/>
    <w:rsid w:val="0029165C"/>
    <w:rsid w:val="002919FB"/>
    <w:rsid w:val="00292729"/>
    <w:rsid w:val="00293A77"/>
    <w:rsid w:val="002940C3"/>
    <w:rsid w:val="002946F9"/>
    <w:rsid w:val="002955FC"/>
    <w:rsid w:val="002958FB"/>
    <w:rsid w:val="00295C28"/>
    <w:rsid w:val="00295C41"/>
    <w:rsid w:val="00295F24"/>
    <w:rsid w:val="002975A8"/>
    <w:rsid w:val="002A1281"/>
    <w:rsid w:val="002A1F20"/>
    <w:rsid w:val="002A4F23"/>
    <w:rsid w:val="002A566A"/>
    <w:rsid w:val="002A57C9"/>
    <w:rsid w:val="002A5D66"/>
    <w:rsid w:val="002A6857"/>
    <w:rsid w:val="002A6B14"/>
    <w:rsid w:val="002A7036"/>
    <w:rsid w:val="002A7D1C"/>
    <w:rsid w:val="002B0B4A"/>
    <w:rsid w:val="002B2F92"/>
    <w:rsid w:val="002B3312"/>
    <w:rsid w:val="002B3881"/>
    <w:rsid w:val="002B3D41"/>
    <w:rsid w:val="002B59CD"/>
    <w:rsid w:val="002B6D4D"/>
    <w:rsid w:val="002B7B76"/>
    <w:rsid w:val="002C64BF"/>
    <w:rsid w:val="002C7138"/>
    <w:rsid w:val="002D1674"/>
    <w:rsid w:val="002D17C7"/>
    <w:rsid w:val="002D219D"/>
    <w:rsid w:val="002D2AAF"/>
    <w:rsid w:val="002D6414"/>
    <w:rsid w:val="002E037F"/>
    <w:rsid w:val="002E0E5C"/>
    <w:rsid w:val="002E2186"/>
    <w:rsid w:val="002E263A"/>
    <w:rsid w:val="002E29B3"/>
    <w:rsid w:val="002E4EC0"/>
    <w:rsid w:val="002E5511"/>
    <w:rsid w:val="002E5B8B"/>
    <w:rsid w:val="002E69A0"/>
    <w:rsid w:val="002E6F97"/>
    <w:rsid w:val="002E727E"/>
    <w:rsid w:val="002E7313"/>
    <w:rsid w:val="002E7A6E"/>
    <w:rsid w:val="002F154F"/>
    <w:rsid w:val="002F1B35"/>
    <w:rsid w:val="002F2B62"/>
    <w:rsid w:val="002F39CD"/>
    <w:rsid w:val="002F3CAD"/>
    <w:rsid w:val="002F4AF5"/>
    <w:rsid w:val="002F5235"/>
    <w:rsid w:val="002F5960"/>
    <w:rsid w:val="002F7813"/>
    <w:rsid w:val="002F7E2C"/>
    <w:rsid w:val="0030007B"/>
    <w:rsid w:val="003008CF"/>
    <w:rsid w:val="00301DD9"/>
    <w:rsid w:val="00302B6F"/>
    <w:rsid w:val="00302BF6"/>
    <w:rsid w:val="003031C4"/>
    <w:rsid w:val="00305D09"/>
    <w:rsid w:val="00311A3B"/>
    <w:rsid w:val="00313C42"/>
    <w:rsid w:val="00316AF7"/>
    <w:rsid w:val="00316F0B"/>
    <w:rsid w:val="00320296"/>
    <w:rsid w:val="00323197"/>
    <w:rsid w:val="00323248"/>
    <w:rsid w:val="00324F94"/>
    <w:rsid w:val="00325073"/>
    <w:rsid w:val="0032523A"/>
    <w:rsid w:val="003258FD"/>
    <w:rsid w:val="00325FD0"/>
    <w:rsid w:val="00326B8B"/>
    <w:rsid w:val="00326D0A"/>
    <w:rsid w:val="003300E4"/>
    <w:rsid w:val="003306B1"/>
    <w:rsid w:val="00331421"/>
    <w:rsid w:val="00331FEE"/>
    <w:rsid w:val="00333269"/>
    <w:rsid w:val="003333FD"/>
    <w:rsid w:val="003351E5"/>
    <w:rsid w:val="003357DA"/>
    <w:rsid w:val="003374CC"/>
    <w:rsid w:val="00340946"/>
    <w:rsid w:val="00341288"/>
    <w:rsid w:val="003418B0"/>
    <w:rsid w:val="00346974"/>
    <w:rsid w:val="003501F8"/>
    <w:rsid w:val="003507A1"/>
    <w:rsid w:val="00350D5A"/>
    <w:rsid w:val="003513BB"/>
    <w:rsid w:val="003515AB"/>
    <w:rsid w:val="00351BF6"/>
    <w:rsid w:val="00351F9B"/>
    <w:rsid w:val="003520A5"/>
    <w:rsid w:val="00352282"/>
    <w:rsid w:val="00354F4A"/>
    <w:rsid w:val="0035527F"/>
    <w:rsid w:val="00355975"/>
    <w:rsid w:val="003562DA"/>
    <w:rsid w:val="00356386"/>
    <w:rsid w:val="003605F7"/>
    <w:rsid w:val="00365558"/>
    <w:rsid w:val="003659D1"/>
    <w:rsid w:val="003667FE"/>
    <w:rsid w:val="00366C53"/>
    <w:rsid w:val="0036709C"/>
    <w:rsid w:val="00367FAB"/>
    <w:rsid w:val="0037085C"/>
    <w:rsid w:val="003720A4"/>
    <w:rsid w:val="00374E41"/>
    <w:rsid w:val="003756FF"/>
    <w:rsid w:val="003769A6"/>
    <w:rsid w:val="0037709B"/>
    <w:rsid w:val="0038221B"/>
    <w:rsid w:val="00383022"/>
    <w:rsid w:val="00384AB8"/>
    <w:rsid w:val="0038651A"/>
    <w:rsid w:val="00386CAD"/>
    <w:rsid w:val="00386FC1"/>
    <w:rsid w:val="00393159"/>
    <w:rsid w:val="00393773"/>
    <w:rsid w:val="003947B2"/>
    <w:rsid w:val="00395101"/>
    <w:rsid w:val="00396044"/>
    <w:rsid w:val="003966DF"/>
    <w:rsid w:val="003A35AF"/>
    <w:rsid w:val="003A35BC"/>
    <w:rsid w:val="003A58C0"/>
    <w:rsid w:val="003A61DF"/>
    <w:rsid w:val="003A72A7"/>
    <w:rsid w:val="003A7A0C"/>
    <w:rsid w:val="003A7DB5"/>
    <w:rsid w:val="003B014C"/>
    <w:rsid w:val="003B2C10"/>
    <w:rsid w:val="003B3CF2"/>
    <w:rsid w:val="003B4DF4"/>
    <w:rsid w:val="003B5053"/>
    <w:rsid w:val="003B6769"/>
    <w:rsid w:val="003C0A51"/>
    <w:rsid w:val="003C11FA"/>
    <w:rsid w:val="003C266B"/>
    <w:rsid w:val="003C2A3B"/>
    <w:rsid w:val="003C681D"/>
    <w:rsid w:val="003C73C4"/>
    <w:rsid w:val="003C7FE2"/>
    <w:rsid w:val="003D041D"/>
    <w:rsid w:val="003D0A48"/>
    <w:rsid w:val="003D0DB0"/>
    <w:rsid w:val="003D199F"/>
    <w:rsid w:val="003D4AD6"/>
    <w:rsid w:val="003D5489"/>
    <w:rsid w:val="003D5F7A"/>
    <w:rsid w:val="003E1165"/>
    <w:rsid w:val="003E20AD"/>
    <w:rsid w:val="003E25CD"/>
    <w:rsid w:val="003E2694"/>
    <w:rsid w:val="003E2DDF"/>
    <w:rsid w:val="003E41AE"/>
    <w:rsid w:val="003E5992"/>
    <w:rsid w:val="003E5EBB"/>
    <w:rsid w:val="003E604A"/>
    <w:rsid w:val="003E6EC9"/>
    <w:rsid w:val="003E70E1"/>
    <w:rsid w:val="003F2EAF"/>
    <w:rsid w:val="003F43F9"/>
    <w:rsid w:val="003F45DC"/>
    <w:rsid w:val="003F4869"/>
    <w:rsid w:val="003F521F"/>
    <w:rsid w:val="003F5AB5"/>
    <w:rsid w:val="003F6E79"/>
    <w:rsid w:val="003F711D"/>
    <w:rsid w:val="003F7ED5"/>
    <w:rsid w:val="00402531"/>
    <w:rsid w:val="004040EE"/>
    <w:rsid w:val="00404AFF"/>
    <w:rsid w:val="004058E6"/>
    <w:rsid w:val="00407112"/>
    <w:rsid w:val="00410969"/>
    <w:rsid w:val="004109FC"/>
    <w:rsid w:val="004119CA"/>
    <w:rsid w:val="00412491"/>
    <w:rsid w:val="00414A24"/>
    <w:rsid w:val="00414D2D"/>
    <w:rsid w:val="00416445"/>
    <w:rsid w:val="00421D58"/>
    <w:rsid w:val="00422D84"/>
    <w:rsid w:val="00422F0B"/>
    <w:rsid w:val="00424089"/>
    <w:rsid w:val="004240E1"/>
    <w:rsid w:val="00426442"/>
    <w:rsid w:val="00426528"/>
    <w:rsid w:val="00427585"/>
    <w:rsid w:val="0043009E"/>
    <w:rsid w:val="004307E9"/>
    <w:rsid w:val="00430D26"/>
    <w:rsid w:val="00431FCF"/>
    <w:rsid w:val="00432204"/>
    <w:rsid w:val="0043247F"/>
    <w:rsid w:val="00433B4A"/>
    <w:rsid w:val="004342BB"/>
    <w:rsid w:val="00434370"/>
    <w:rsid w:val="004348E0"/>
    <w:rsid w:val="00436636"/>
    <w:rsid w:val="00440E34"/>
    <w:rsid w:val="00441C1F"/>
    <w:rsid w:val="0044450B"/>
    <w:rsid w:val="00446583"/>
    <w:rsid w:val="004507C9"/>
    <w:rsid w:val="00452C37"/>
    <w:rsid w:val="004537EE"/>
    <w:rsid w:val="00456B87"/>
    <w:rsid w:val="004620FC"/>
    <w:rsid w:val="0046495D"/>
    <w:rsid w:val="00466E4C"/>
    <w:rsid w:val="00473904"/>
    <w:rsid w:val="004740FB"/>
    <w:rsid w:val="004754FB"/>
    <w:rsid w:val="00476985"/>
    <w:rsid w:val="004776AB"/>
    <w:rsid w:val="00477EBA"/>
    <w:rsid w:val="00483050"/>
    <w:rsid w:val="0048550F"/>
    <w:rsid w:val="00485B91"/>
    <w:rsid w:val="00487605"/>
    <w:rsid w:val="00487F93"/>
    <w:rsid w:val="00490355"/>
    <w:rsid w:val="00491D15"/>
    <w:rsid w:val="004922B0"/>
    <w:rsid w:val="00493D93"/>
    <w:rsid w:val="004A0F45"/>
    <w:rsid w:val="004A15BD"/>
    <w:rsid w:val="004A2581"/>
    <w:rsid w:val="004A4E13"/>
    <w:rsid w:val="004A54C5"/>
    <w:rsid w:val="004B0452"/>
    <w:rsid w:val="004B2D55"/>
    <w:rsid w:val="004B32A2"/>
    <w:rsid w:val="004C09A2"/>
    <w:rsid w:val="004C2A3A"/>
    <w:rsid w:val="004C321A"/>
    <w:rsid w:val="004C3BBC"/>
    <w:rsid w:val="004C5416"/>
    <w:rsid w:val="004C5446"/>
    <w:rsid w:val="004C6854"/>
    <w:rsid w:val="004C697C"/>
    <w:rsid w:val="004D009C"/>
    <w:rsid w:val="004D0E01"/>
    <w:rsid w:val="004D141A"/>
    <w:rsid w:val="004D1F4C"/>
    <w:rsid w:val="004D3EBE"/>
    <w:rsid w:val="004D42BF"/>
    <w:rsid w:val="004D6635"/>
    <w:rsid w:val="004D77FA"/>
    <w:rsid w:val="004E2055"/>
    <w:rsid w:val="004E312A"/>
    <w:rsid w:val="004E59AE"/>
    <w:rsid w:val="004E6A9E"/>
    <w:rsid w:val="004E6F35"/>
    <w:rsid w:val="004E70C0"/>
    <w:rsid w:val="004F0731"/>
    <w:rsid w:val="004F07AC"/>
    <w:rsid w:val="004F1A1A"/>
    <w:rsid w:val="004F1FF5"/>
    <w:rsid w:val="004F4541"/>
    <w:rsid w:val="004F5D64"/>
    <w:rsid w:val="004F6147"/>
    <w:rsid w:val="004F6283"/>
    <w:rsid w:val="00501548"/>
    <w:rsid w:val="0050222C"/>
    <w:rsid w:val="00504E87"/>
    <w:rsid w:val="00504EC3"/>
    <w:rsid w:val="0050559C"/>
    <w:rsid w:val="00505CE1"/>
    <w:rsid w:val="005078FA"/>
    <w:rsid w:val="00507967"/>
    <w:rsid w:val="00507A6E"/>
    <w:rsid w:val="00507E44"/>
    <w:rsid w:val="00510A55"/>
    <w:rsid w:val="005131EB"/>
    <w:rsid w:val="005134D9"/>
    <w:rsid w:val="00513BEA"/>
    <w:rsid w:val="005154B6"/>
    <w:rsid w:val="00516681"/>
    <w:rsid w:val="0051681E"/>
    <w:rsid w:val="0051757E"/>
    <w:rsid w:val="00517C12"/>
    <w:rsid w:val="00522F15"/>
    <w:rsid w:val="005233D4"/>
    <w:rsid w:val="00523767"/>
    <w:rsid w:val="00524DDD"/>
    <w:rsid w:val="00525486"/>
    <w:rsid w:val="005258B7"/>
    <w:rsid w:val="00526064"/>
    <w:rsid w:val="0052630B"/>
    <w:rsid w:val="00526472"/>
    <w:rsid w:val="005268CD"/>
    <w:rsid w:val="00527D7F"/>
    <w:rsid w:val="0053192D"/>
    <w:rsid w:val="00533DB5"/>
    <w:rsid w:val="00533E87"/>
    <w:rsid w:val="00534A1C"/>
    <w:rsid w:val="00536017"/>
    <w:rsid w:val="0053788F"/>
    <w:rsid w:val="0053796D"/>
    <w:rsid w:val="00537E9D"/>
    <w:rsid w:val="0054040C"/>
    <w:rsid w:val="005417A3"/>
    <w:rsid w:val="00542494"/>
    <w:rsid w:val="0054531D"/>
    <w:rsid w:val="005457B7"/>
    <w:rsid w:val="00545BE5"/>
    <w:rsid w:val="00546CDE"/>
    <w:rsid w:val="00552254"/>
    <w:rsid w:val="00552590"/>
    <w:rsid w:val="00552835"/>
    <w:rsid w:val="00553827"/>
    <w:rsid w:val="00555F4F"/>
    <w:rsid w:val="00556326"/>
    <w:rsid w:val="00556BD6"/>
    <w:rsid w:val="00557D54"/>
    <w:rsid w:val="00557ED0"/>
    <w:rsid w:val="0056016D"/>
    <w:rsid w:val="00563078"/>
    <w:rsid w:val="00563827"/>
    <w:rsid w:val="00563FE5"/>
    <w:rsid w:val="00565AD6"/>
    <w:rsid w:val="005669BE"/>
    <w:rsid w:val="00570482"/>
    <w:rsid w:val="0057068E"/>
    <w:rsid w:val="00570A58"/>
    <w:rsid w:val="00572A20"/>
    <w:rsid w:val="00572E2B"/>
    <w:rsid w:val="00575436"/>
    <w:rsid w:val="005765B0"/>
    <w:rsid w:val="00576AAC"/>
    <w:rsid w:val="00576B6A"/>
    <w:rsid w:val="005803CA"/>
    <w:rsid w:val="0058120C"/>
    <w:rsid w:val="00581CAC"/>
    <w:rsid w:val="00581D7B"/>
    <w:rsid w:val="00583FFB"/>
    <w:rsid w:val="005861C0"/>
    <w:rsid w:val="005868A6"/>
    <w:rsid w:val="00586D1F"/>
    <w:rsid w:val="00591669"/>
    <w:rsid w:val="00591AE4"/>
    <w:rsid w:val="005931D8"/>
    <w:rsid w:val="005936A6"/>
    <w:rsid w:val="00595C12"/>
    <w:rsid w:val="005960E7"/>
    <w:rsid w:val="005970EE"/>
    <w:rsid w:val="005A0395"/>
    <w:rsid w:val="005A1A5B"/>
    <w:rsid w:val="005A1C65"/>
    <w:rsid w:val="005A239F"/>
    <w:rsid w:val="005A2C11"/>
    <w:rsid w:val="005A2CED"/>
    <w:rsid w:val="005A3A35"/>
    <w:rsid w:val="005A43EC"/>
    <w:rsid w:val="005A49D2"/>
    <w:rsid w:val="005B0FC6"/>
    <w:rsid w:val="005B2C3C"/>
    <w:rsid w:val="005B2F59"/>
    <w:rsid w:val="005B2F7D"/>
    <w:rsid w:val="005B386E"/>
    <w:rsid w:val="005B4620"/>
    <w:rsid w:val="005B4D76"/>
    <w:rsid w:val="005B5049"/>
    <w:rsid w:val="005B5ADE"/>
    <w:rsid w:val="005C5481"/>
    <w:rsid w:val="005C7EA7"/>
    <w:rsid w:val="005D0AE5"/>
    <w:rsid w:val="005D251C"/>
    <w:rsid w:val="005D445A"/>
    <w:rsid w:val="005D49BF"/>
    <w:rsid w:val="005D4ED5"/>
    <w:rsid w:val="005E2D11"/>
    <w:rsid w:val="005E7B32"/>
    <w:rsid w:val="005E7C8B"/>
    <w:rsid w:val="005E7CC5"/>
    <w:rsid w:val="005F098E"/>
    <w:rsid w:val="005F118F"/>
    <w:rsid w:val="005F50FF"/>
    <w:rsid w:val="005F6316"/>
    <w:rsid w:val="005F64AC"/>
    <w:rsid w:val="005F72CC"/>
    <w:rsid w:val="00600256"/>
    <w:rsid w:val="00601185"/>
    <w:rsid w:val="006024D1"/>
    <w:rsid w:val="00602BEF"/>
    <w:rsid w:val="0060443C"/>
    <w:rsid w:val="00604F3C"/>
    <w:rsid w:val="00606B3B"/>
    <w:rsid w:val="0061058F"/>
    <w:rsid w:val="00612221"/>
    <w:rsid w:val="00615106"/>
    <w:rsid w:val="00616D0C"/>
    <w:rsid w:val="006173F0"/>
    <w:rsid w:val="006177FB"/>
    <w:rsid w:val="00622869"/>
    <w:rsid w:val="00623D38"/>
    <w:rsid w:val="006249F2"/>
    <w:rsid w:val="00625803"/>
    <w:rsid w:val="0063011D"/>
    <w:rsid w:val="00630EBB"/>
    <w:rsid w:val="00630EEE"/>
    <w:rsid w:val="00631388"/>
    <w:rsid w:val="006338CD"/>
    <w:rsid w:val="00633CDD"/>
    <w:rsid w:val="00634323"/>
    <w:rsid w:val="00637BFC"/>
    <w:rsid w:val="006436F6"/>
    <w:rsid w:val="00644BF2"/>
    <w:rsid w:val="0064515A"/>
    <w:rsid w:val="00645FDD"/>
    <w:rsid w:val="006465B0"/>
    <w:rsid w:val="00646A56"/>
    <w:rsid w:val="00650190"/>
    <w:rsid w:val="006511D0"/>
    <w:rsid w:val="00651B46"/>
    <w:rsid w:val="00652097"/>
    <w:rsid w:val="00652735"/>
    <w:rsid w:val="00653F58"/>
    <w:rsid w:val="00655026"/>
    <w:rsid w:val="0065587B"/>
    <w:rsid w:val="006564DD"/>
    <w:rsid w:val="006573B5"/>
    <w:rsid w:val="006576C9"/>
    <w:rsid w:val="00660341"/>
    <w:rsid w:val="00660750"/>
    <w:rsid w:val="00662254"/>
    <w:rsid w:val="006627CC"/>
    <w:rsid w:val="006638D4"/>
    <w:rsid w:val="0066562C"/>
    <w:rsid w:val="00667B5B"/>
    <w:rsid w:val="00667EE8"/>
    <w:rsid w:val="00670BF3"/>
    <w:rsid w:val="006710A5"/>
    <w:rsid w:val="0067128F"/>
    <w:rsid w:val="00672904"/>
    <w:rsid w:val="00672A7D"/>
    <w:rsid w:val="00674222"/>
    <w:rsid w:val="00676C71"/>
    <w:rsid w:val="00677294"/>
    <w:rsid w:val="00680B34"/>
    <w:rsid w:val="006810EE"/>
    <w:rsid w:val="0068245A"/>
    <w:rsid w:val="00684B79"/>
    <w:rsid w:val="006852EA"/>
    <w:rsid w:val="00687E92"/>
    <w:rsid w:val="006907E4"/>
    <w:rsid w:val="00692D3A"/>
    <w:rsid w:val="0069553C"/>
    <w:rsid w:val="006959E1"/>
    <w:rsid w:val="00697240"/>
    <w:rsid w:val="00697312"/>
    <w:rsid w:val="006A0577"/>
    <w:rsid w:val="006A18E6"/>
    <w:rsid w:val="006A1944"/>
    <w:rsid w:val="006A21E4"/>
    <w:rsid w:val="006A2670"/>
    <w:rsid w:val="006A3BDD"/>
    <w:rsid w:val="006A7014"/>
    <w:rsid w:val="006A7750"/>
    <w:rsid w:val="006B00FE"/>
    <w:rsid w:val="006B380F"/>
    <w:rsid w:val="006B49F4"/>
    <w:rsid w:val="006B5463"/>
    <w:rsid w:val="006B5F47"/>
    <w:rsid w:val="006B7638"/>
    <w:rsid w:val="006B7B28"/>
    <w:rsid w:val="006C006C"/>
    <w:rsid w:val="006C1445"/>
    <w:rsid w:val="006C180E"/>
    <w:rsid w:val="006C28D3"/>
    <w:rsid w:val="006C2FC4"/>
    <w:rsid w:val="006C4D21"/>
    <w:rsid w:val="006C5869"/>
    <w:rsid w:val="006C63D9"/>
    <w:rsid w:val="006C6F4E"/>
    <w:rsid w:val="006C700E"/>
    <w:rsid w:val="006D07D5"/>
    <w:rsid w:val="006D2361"/>
    <w:rsid w:val="006D3A44"/>
    <w:rsid w:val="006D3DB0"/>
    <w:rsid w:val="006D60BC"/>
    <w:rsid w:val="006D6325"/>
    <w:rsid w:val="006E1293"/>
    <w:rsid w:val="006E22E6"/>
    <w:rsid w:val="006E2F07"/>
    <w:rsid w:val="006E34AE"/>
    <w:rsid w:val="006E45FE"/>
    <w:rsid w:val="006E4ED1"/>
    <w:rsid w:val="006E635B"/>
    <w:rsid w:val="006E7521"/>
    <w:rsid w:val="006E79B6"/>
    <w:rsid w:val="006E7C0F"/>
    <w:rsid w:val="006F0876"/>
    <w:rsid w:val="006F0F41"/>
    <w:rsid w:val="006F1031"/>
    <w:rsid w:val="006F19C2"/>
    <w:rsid w:val="006F2928"/>
    <w:rsid w:val="006F43DC"/>
    <w:rsid w:val="006F4C0D"/>
    <w:rsid w:val="006F5B22"/>
    <w:rsid w:val="007005C7"/>
    <w:rsid w:val="00701D0C"/>
    <w:rsid w:val="00703AB5"/>
    <w:rsid w:val="00704B36"/>
    <w:rsid w:val="00705550"/>
    <w:rsid w:val="00705CA4"/>
    <w:rsid w:val="00707292"/>
    <w:rsid w:val="00710C7A"/>
    <w:rsid w:val="00711619"/>
    <w:rsid w:val="00711FD9"/>
    <w:rsid w:val="00713C2E"/>
    <w:rsid w:val="007155BA"/>
    <w:rsid w:val="007161E6"/>
    <w:rsid w:val="00716520"/>
    <w:rsid w:val="00716EF3"/>
    <w:rsid w:val="00717416"/>
    <w:rsid w:val="00717758"/>
    <w:rsid w:val="00720E00"/>
    <w:rsid w:val="00721172"/>
    <w:rsid w:val="007245B1"/>
    <w:rsid w:val="00724E30"/>
    <w:rsid w:val="00725930"/>
    <w:rsid w:val="00727AB0"/>
    <w:rsid w:val="00727C2A"/>
    <w:rsid w:val="007307B9"/>
    <w:rsid w:val="00730AD3"/>
    <w:rsid w:val="0073141D"/>
    <w:rsid w:val="007315CB"/>
    <w:rsid w:val="00732041"/>
    <w:rsid w:val="0073312B"/>
    <w:rsid w:val="00733654"/>
    <w:rsid w:val="0073469A"/>
    <w:rsid w:val="0073476F"/>
    <w:rsid w:val="00736E5C"/>
    <w:rsid w:val="00737E18"/>
    <w:rsid w:val="00741F62"/>
    <w:rsid w:val="00743CB1"/>
    <w:rsid w:val="00744562"/>
    <w:rsid w:val="00744A29"/>
    <w:rsid w:val="00744AC4"/>
    <w:rsid w:val="00745FAB"/>
    <w:rsid w:val="00746318"/>
    <w:rsid w:val="00747719"/>
    <w:rsid w:val="007477D5"/>
    <w:rsid w:val="00750D21"/>
    <w:rsid w:val="00751016"/>
    <w:rsid w:val="00751446"/>
    <w:rsid w:val="0075289D"/>
    <w:rsid w:val="00752F6D"/>
    <w:rsid w:val="00752F98"/>
    <w:rsid w:val="007533FA"/>
    <w:rsid w:val="00755799"/>
    <w:rsid w:val="00757A37"/>
    <w:rsid w:val="00760583"/>
    <w:rsid w:val="007605A6"/>
    <w:rsid w:val="00761C03"/>
    <w:rsid w:val="0076374C"/>
    <w:rsid w:val="00766B43"/>
    <w:rsid w:val="00766FAB"/>
    <w:rsid w:val="007700E8"/>
    <w:rsid w:val="00770C6A"/>
    <w:rsid w:val="00771008"/>
    <w:rsid w:val="00771AC4"/>
    <w:rsid w:val="007722C4"/>
    <w:rsid w:val="00774F80"/>
    <w:rsid w:val="00775C47"/>
    <w:rsid w:val="00775FD5"/>
    <w:rsid w:val="00777AE2"/>
    <w:rsid w:val="0078240A"/>
    <w:rsid w:val="0078259A"/>
    <w:rsid w:val="00784962"/>
    <w:rsid w:val="00785189"/>
    <w:rsid w:val="007879D8"/>
    <w:rsid w:val="007901B6"/>
    <w:rsid w:val="00790583"/>
    <w:rsid w:val="00792006"/>
    <w:rsid w:val="00792A02"/>
    <w:rsid w:val="0079592A"/>
    <w:rsid w:val="00797A8C"/>
    <w:rsid w:val="007A12A6"/>
    <w:rsid w:val="007A25A4"/>
    <w:rsid w:val="007A4415"/>
    <w:rsid w:val="007A6FB4"/>
    <w:rsid w:val="007A7EFA"/>
    <w:rsid w:val="007B02BC"/>
    <w:rsid w:val="007B0752"/>
    <w:rsid w:val="007B0970"/>
    <w:rsid w:val="007B098E"/>
    <w:rsid w:val="007B20CE"/>
    <w:rsid w:val="007B35FC"/>
    <w:rsid w:val="007B3CCA"/>
    <w:rsid w:val="007B4199"/>
    <w:rsid w:val="007B55A0"/>
    <w:rsid w:val="007B70B6"/>
    <w:rsid w:val="007B7976"/>
    <w:rsid w:val="007C0799"/>
    <w:rsid w:val="007C0E27"/>
    <w:rsid w:val="007C1016"/>
    <w:rsid w:val="007C1EFA"/>
    <w:rsid w:val="007C2297"/>
    <w:rsid w:val="007C2F3F"/>
    <w:rsid w:val="007C3F7A"/>
    <w:rsid w:val="007C421A"/>
    <w:rsid w:val="007C62B6"/>
    <w:rsid w:val="007C7ECA"/>
    <w:rsid w:val="007D03F2"/>
    <w:rsid w:val="007D3120"/>
    <w:rsid w:val="007D330D"/>
    <w:rsid w:val="007D33FC"/>
    <w:rsid w:val="007D3961"/>
    <w:rsid w:val="007D4952"/>
    <w:rsid w:val="007E0840"/>
    <w:rsid w:val="007E173A"/>
    <w:rsid w:val="007E1E32"/>
    <w:rsid w:val="007E2092"/>
    <w:rsid w:val="007E51A4"/>
    <w:rsid w:val="007E6650"/>
    <w:rsid w:val="007F1BA8"/>
    <w:rsid w:val="007F2360"/>
    <w:rsid w:val="007F2879"/>
    <w:rsid w:val="007F2C4D"/>
    <w:rsid w:val="007F67D9"/>
    <w:rsid w:val="007F7DF8"/>
    <w:rsid w:val="007F7F9B"/>
    <w:rsid w:val="0080070D"/>
    <w:rsid w:val="00800D11"/>
    <w:rsid w:val="00802FD4"/>
    <w:rsid w:val="0080471B"/>
    <w:rsid w:val="0080483E"/>
    <w:rsid w:val="00805268"/>
    <w:rsid w:val="0080544F"/>
    <w:rsid w:val="00805907"/>
    <w:rsid w:val="00807C3E"/>
    <w:rsid w:val="0081062E"/>
    <w:rsid w:val="00811177"/>
    <w:rsid w:val="00813446"/>
    <w:rsid w:val="00813E0E"/>
    <w:rsid w:val="00814B0A"/>
    <w:rsid w:val="008215B0"/>
    <w:rsid w:val="008216A2"/>
    <w:rsid w:val="00821A2E"/>
    <w:rsid w:val="00822FA9"/>
    <w:rsid w:val="00825858"/>
    <w:rsid w:val="008259B8"/>
    <w:rsid w:val="00827559"/>
    <w:rsid w:val="00831493"/>
    <w:rsid w:val="008319A6"/>
    <w:rsid w:val="00831A72"/>
    <w:rsid w:val="00831AD1"/>
    <w:rsid w:val="00832071"/>
    <w:rsid w:val="0083365E"/>
    <w:rsid w:val="0083493D"/>
    <w:rsid w:val="00834E1B"/>
    <w:rsid w:val="00835CBD"/>
    <w:rsid w:val="00837464"/>
    <w:rsid w:val="00837E23"/>
    <w:rsid w:val="0084071C"/>
    <w:rsid w:val="00840907"/>
    <w:rsid w:val="00841FED"/>
    <w:rsid w:val="00843541"/>
    <w:rsid w:val="00844018"/>
    <w:rsid w:val="008452A8"/>
    <w:rsid w:val="008462C5"/>
    <w:rsid w:val="00846335"/>
    <w:rsid w:val="008508F0"/>
    <w:rsid w:val="00853C67"/>
    <w:rsid w:val="00855F11"/>
    <w:rsid w:val="008608CD"/>
    <w:rsid w:val="00862D98"/>
    <w:rsid w:val="008633AE"/>
    <w:rsid w:val="008645A7"/>
    <w:rsid w:val="00864A3A"/>
    <w:rsid w:val="00865A44"/>
    <w:rsid w:val="00865B71"/>
    <w:rsid w:val="00865D2D"/>
    <w:rsid w:val="00867428"/>
    <w:rsid w:val="00870148"/>
    <w:rsid w:val="0087068F"/>
    <w:rsid w:val="008712B8"/>
    <w:rsid w:val="0087159F"/>
    <w:rsid w:val="00871A70"/>
    <w:rsid w:val="00872E6C"/>
    <w:rsid w:val="00874261"/>
    <w:rsid w:val="00876024"/>
    <w:rsid w:val="00876DAB"/>
    <w:rsid w:val="00877087"/>
    <w:rsid w:val="008775E5"/>
    <w:rsid w:val="0087787C"/>
    <w:rsid w:val="00880368"/>
    <w:rsid w:val="00881742"/>
    <w:rsid w:val="008846F9"/>
    <w:rsid w:val="0088607E"/>
    <w:rsid w:val="0089040F"/>
    <w:rsid w:val="0089077D"/>
    <w:rsid w:val="00891826"/>
    <w:rsid w:val="00891BB9"/>
    <w:rsid w:val="00891EF1"/>
    <w:rsid w:val="008926B1"/>
    <w:rsid w:val="00894E6D"/>
    <w:rsid w:val="008956AB"/>
    <w:rsid w:val="0089749F"/>
    <w:rsid w:val="008A2911"/>
    <w:rsid w:val="008A31D6"/>
    <w:rsid w:val="008A3C1E"/>
    <w:rsid w:val="008A51A3"/>
    <w:rsid w:val="008A6315"/>
    <w:rsid w:val="008A66E8"/>
    <w:rsid w:val="008B146F"/>
    <w:rsid w:val="008B188A"/>
    <w:rsid w:val="008B1F1B"/>
    <w:rsid w:val="008B394C"/>
    <w:rsid w:val="008B4695"/>
    <w:rsid w:val="008B59F1"/>
    <w:rsid w:val="008B6E96"/>
    <w:rsid w:val="008B7033"/>
    <w:rsid w:val="008B7189"/>
    <w:rsid w:val="008C1CEE"/>
    <w:rsid w:val="008C312E"/>
    <w:rsid w:val="008C3141"/>
    <w:rsid w:val="008C3BB5"/>
    <w:rsid w:val="008C5EFA"/>
    <w:rsid w:val="008C6552"/>
    <w:rsid w:val="008C68F4"/>
    <w:rsid w:val="008D0E73"/>
    <w:rsid w:val="008D157F"/>
    <w:rsid w:val="008D20D3"/>
    <w:rsid w:val="008D25EB"/>
    <w:rsid w:val="008D4743"/>
    <w:rsid w:val="008D4775"/>
    <w:rsid w:val="008D5EB8"/>
    <w:rsid w:val="008E0542"/>
    <w:rsid w:val="008E0C11"/>
    <w:rsid w:val="008E1989"/>
    <w:rsid w:val="008E3582"/>
    <w:rsid w:val="008E3FBF"/>
    <w:rsid w:val="008E4A90"/>
    <w:rsid w:val="008E4F43"/>
    <w:rsid w:val="008E5084"/>
    <w:rsid w:val="008E63F6"/>
    <w:rsid w:val="008E7962"/>
    <w:rsid w:val="008E7E7A"/>
    <w:rsid w:val="008F1156"/>
    <w:rsid w:val="008F12D8"/>
    <w:rsid w:val="008F1B76"/>
    <w:rsid w:val="008F1C22"/>
    <w:rsid w:val="008F2675"/>
    <w:rsid w:val="008F2D6D"/>
    <w:rsid w:val="008F4848"/>
    <w:rsid w:val="008F4D83"/>
    <w:rsid w:val="008F51FC"/>
    <w:rsid w:val="009009A6"/>
    <w:rsid w:val="0090199C"/>
    <w:rsid w:val="009034A5"/>
    <w:rsid w:val="00903524"/>
    <w:rsid w:val="0090495B"/>
    <w:rsid w:val="009051BE"/>
    <w:rsid w:val="009062A0"/>
    <w:rsid w:val="00906E8E"/>
    <w:rsid w:val="0091095C"/>
    <w:rsid w:val="00913C12"/>
    <w:rsid w:val="00913D75"/>
    <w:rsid w:val="00914076"/>
    <w:rsid w:val="00914CA3"/>
    <w:rsid w:val="00915088"/>
    <w:rsid w:val="00916F90"/>
    <w:rsid w:val="00920063"/>
    <w:rsid w:val="00920930"/>
    <w:rsid w:val="00920D64"/>
    <w:rsid w:val="00920FE4"/>
    <w:rsid w:val="00921D94"/>
    <w:rsid w:val="00922A53"/>
    <w:rsid w:val="00923F21"/>
    <w:rsid w:val="0092517A"/>
    <w:rsid w:val="009257A0"/>
    <w:rsid w:val="00925A1B"/>
    <w:rsid w:val="00925D57"/>
    <w:rsid w:val="00925D87"/>
    <w:rsid w:val="00926A39"/>
    <w:rsid w:val="00926CA9"/>
    <w:rsid w:val="00930A92"/>
    <w:rsid w:val="00933AC0"/>
    <w:rsid w:val="0093619B"/>
    <w:rsid w:val="00936A7D"/>
    <w:rsid w:val="00937FF6"/>
    <w:rsid w:val="00941182"/>
    <w:rsid w:val="0094123C"/>
    <w:rsid w:val="00942143"/>
    <w:rsid w:val="00944BC0"/>
    <w:rsid w:val="00946A4F"/>
    <w:rsid w:val="009548FF"/>
    <w:rsid w:val="00955344"/>
    <w:rsid w:val="00955AAD"/>
    <w:rsid w:val="009560C0"/>
    <w:rsid w:val="009568E8"/>
    <w:rsid w:val="00957134"/>
    <w:rsid w:val="00960CEF"/>
    <w:rsid w:val="009610E3"/>
    <w:rsid w:val="009634BA"/>
    <w:rsid w:val="00963F6D"/>
    <w:rsid w:val="00964CF9"/>
    <w:rsid w:val="00965290"/>
    <w:rsid w:val="009663A4"/>
    <w:rsid w:val="00966F6E"/>
    <w:rsid w:val="00967CA8"/>
    <w:rsid w:val="009725CA"/>
    <w:rsid w:val="00972E7C"/>
    <w:rsid w:val="0097368C"/>
    <w:rsid w:val="00974650"/>
    <w:rsid w:val="00974823"/>
    <w:rsid w:val="00976AFF"/>
    <w:rsid w:val="00977F85"/>
    <w:rsid w:val="009814E0"/>
    <w:rsid w:val="00982277"/>
    <w:rsid w:val="00982E5D"/>
    <w:rsid w:val="00983152"/>
    <w:rsid w:val="00984154"/>
    <w:rsid w:val="00986463"/>
    <w:rsid w:val="00990B8F"/>
    <w:rsid w:val="00992BC6"/>
    <w:rsid w:val="009933B0"/>
    <w:rsid w:val="00995300"/>
    <w:rsid w:val="009956AA"/>
    <w:rsid w:val="00995B30"/>
    <w:rsid w:val="00995CD8"/>
    <w:rsid w:val="009972D3"/>
    <w:rsid w:val="00997715"/>
    <w:rsid w:val="009A0DB0"/>
    <w:rsid w:val="009A3179"/>
    <w:rsid w:val="009A43A2"/>
    <w:rsid w:val="009A6878"/>
    <w:rsid w:val="009B008F"/>
    <w:rsid w:val="009B120B"/>
    <w:rsid w:val="009B3471"/>
    <w:rsid w:val="009B727A"/>
    <w:rsid w:val="009C064B"/>
    <w:rsid w:val="009C2B91"/>
    <w:rsid w:val="009C3188"/>
    <w:rsid w:val="009C4830"/>
    <w:rsid w:val="009C4C57"/>
    <w:rsid w:val="009C4D0B"/>
    <w:rsid w:val="009C52AB"/>
    <w:rsid w:val="009C6AEB"/>
    <w:rsid w:val="009C7334"/>
    <w:rsid w:val="009C7F8F"/>
    <w:rsid w:val="009D0B03"/>
    <w:rsid w:val="009D0E8F"/>
    <w:rsid w:val="009D1122"/>
    <w:rsid w:val="009D2AB4"/>
    <w:rsid w:val="009D3C5B"/>
    <w:rsid w:val="009D5EAA"/>
    <w:rsid w:val="009D792A"/>
    <w:rsid w:val="009E02BA"/>
    <w:rsid w:val="009E2CDB"/>
    <w:rsid w:val="009E2FAE"/>
    <w:rsid w:val="009E4818"/>
    <w:rsid w:val="009E4B2A"/>
    <w:rsid w:val="009E61AE"/>
    <w:rsid w:val="009E6833"/>
    <w:rsid w:val="009E6E0F"/>
    <w:rsid w:val="009F1189"/>
    <w:rsid w:val="009F326D"/>
    <w:rsid w:val="009F3FAA"/>
    <w:rsid w:val="009F4BCE"/>
    <w:rsid w:val="009F4C84"/>
    <w:rsid w:val="009F57F1"/>
    <w:rsid w:val="009F5B04"/>
    <w:rsid w:val="00A00DDF"/>
    <w:rsid w:val="00A028E0"/>
    <w:rsid w:val="00A04AEF"/>
    <w:rsid w:val="00A0524B"/>
    <w:rsid w:val="00A059B2"/>
    <w:rsid w:val="00A0738A"/>
    <w:rsid w:val="00A07F70"/>
    <w:rsid w:val="00A10683"/>
    <w:rsid w:val="00A1262F"/>
    <w:rsid w:val="00A12D41"/>
    <w:rsid w:val="00A138BD"/>
    <w:rsid w:val="00A13E28"/>
    <w:rsid w:val="00A16893"/>
    <w:rsid w:val="00A16AF2"/>
    <w:rsid w:val="00A17E77"/>
    <w:rsid w:val="00A204A1"/>
    <w:rsid w:val="00A217BA"/>
    <w:rsid w:val="00A21D0D"/>
    <w:rsid w:val="00A23E50"/>
    <w:rsid w:val="00A279AA"/>
    <w:rsid w:val="00A31363"/>
    <w:rsid w:val="00A31558"/>
    <w:rsid w:val="00A31CDE"/>
    <w:rsid w:val="00A361C3"/>
    <w:rsid w:val="00A376ED"/>
    <w:rsid w:val="00A424A1"/>
    <w:rsid w:val="00A44D20"/>
    <w:rsid w:val="00A5017D"/>
    <w:rsid w:val="00A5031F"/>
    <w:rsid w:val="00A51BCB"/>
    <w:rsid w:val="00A53410"/>
    <w:rsid w:val="00A54506"/>
    <w:rsid w:val="00A54D9D"/>
    <w:rsid w:val="00A571C6"/>
    <w:rsid w:val="00A60FD0"/>
    <w:rsid w:val="00A61553"/>
    <w:rsid w:val="00A61882"/>
    <w:rsid w:val="00A62A5C"/>
    <w:rsid w:val="00A631A2"/>
    <w:rsid w:val="00A6359A"/>
    <w:rsid w:val="00A65A11"/>
    <w:rsid w:val="00A6795D"/>
    <w:rsid w:val="00A711D0"/>
    <w:rsid w:val="00A71238"/>
    <w:rsid w:val="00A7211C"/>
    <w:rsid w:val="00A72A89"/>
    <w:rsid w:val="00A7389A"/>
    <w:rsid w:val="00A73D6A"/>
    <w:rsid w:val="00A77DB7"/>
    <w:rsid w:val="00A8139E"/>
    <w:rsid w:val="00A81D85"/>
    <w:rsid w:val="00A8205D"/>
    <w:rsid w:val="00A8229F"/>
    <w:rsid w:val="00A833E5"/>
    <w:rsid w:val="00A86ED2"/>
    <w:rsid w:val="00A86F25"/>
    <w:rsid w:val="00A90C94"/>
    <w:rsid w:val="00A928E3"/>
    <w:rsid w:val="00A94D00"/>
    <w:rsid w:val="00A96AE3"/>
    <w:rsid w:val="00A96EE2"/>
    <w:rsid w:val="00A975BC"/>
    <w:rsid w:val="00A979F8"/>
    <w:rsid w:val="00AA182F"/>
    <w:rsid w:val="00AA200F"/>
    <w:rsid w:val="00AA30D5"/>
    <w:rsid w:val="00AA3521"/>
    <w:rsid w:val="00AA4505"/>
    <w:rsid w:val="00AA53F8"/>
    <w:rsid w:val="00AA5857"/>
    <w:rsid w:val="00AA635C"/>
    <w:rsid w:val="00AB04E3"/>
    <w:rsid w:val="00AB2540"/>
    <w:rsid w:val="00AB3AFA"/>
    <w:rsid w:val="00AB6163"/>
    <w:rsid w:val="00AB624F"/>
    <w:rsid w:val="00AC3734"/>
    <w:rsid w:val="00AC3D3D"/>
    <w:rsid w:val="00AC411D"/>
    <w:rsid w:val="00AC5552"/>
    <w:rsid w:val="00AC5842"/>
    <w:rsid w:val="00AC5892"/>
    <w:rsid w:val="00AC606D"/>
    <w:rsid w:val="00AC6491"/>
    <w:rsid w:val="00AC6B83"/>
    <w:rsid w:val="00AD4A35"/>
    <w:rsid w:val="00AD4FEA"/>
    <w:rsid w:val="00AD7361"/>
    <w:rsid w:val="00AD7C8D"/>
    <w:rsid w:val="00AE16C0"/>
    <w:rsid w:val="00AE2664"/>
    <w:rsid w:val="00AE3942"/>
    <w:rsid w:val="00AE419C"/>
    <w:rsid w:val="00AE513F"/>
    <w:rsid w:val="00AE5A1E"/>
    <w:rsid w:val="00AE638B"/>
    <w:rsid w:val="00AE6EC4"/>
    <w:rsid w:val="00AE7343"/>
    <w:rsid w:val="00AE7D61"/>
    <w:rsid w:val="00AF3CE0"/>
    <w:rsid w:val="00AF4D4F"/>
    <w:rsid w:val="00AF50CB"/>
    <w:rsid w:val="00AF5489"/>
    <w:rsid w:val="00AF5FAF"/>
    <w:rsid w:val="00AF6C51"/>
    <w:rsid w:val="00AF756E"/>
    <w:rsid w:val="00AF7FD1"/>
    <w:rsid w:val="00B01087"/>
    <w:rsid w:val="00B020B0"/>
    <w:rsid w:val="00B04A57"/>
    <w:rsid w:val="00B04ED3"/>
    <w:rsid w:val="00B06279"/>
    <w:rsid w:val="00B0671C"/>
    <w:rsid w:val="00B06DDB"/>
    <w:rsid w:val="00B103EB"/>
    <w:rsid w:val="00B10C14"/>
    <w:rsid w:val="00B114D0"/>
    <w:rsid w:val="00B117E6"/>
    <w:rsid w:val="00B131C3"/>
    <w:rsid w:val="00B131C4"/>
    <w:rsid w:val="00B1329C"/>
    <w:rsid w:val="00B13F61"/>
    <w:rsid w:val="00B14615"/>
    <w:rsid w:val="00B152BA"/>
    <w:rsid w:val="00B162E7"/>
    <w:rsid w:val="00B17073"/>
    <w:rsid w:val="00B31198"/>
    <w:rsid w:val="00B33738"/>
    <w:rsid w:val="00B34E1B"/>
    <w:rsid w:val="00B3591D"/>
    <w:rsid w:val="00B35D3E"/>
    <w:rsid w:val="00B40377"/>
    <w:rsid w:val="00B40AC2"/>
    <w:rsid w:val="00B40BD5"/>
    <w:rsid w:val="00B40D7C"/>
    <w:rsid w:val="00B40FEF"/>
    <w:rsid w:val="00B4227E"/>
    <w:rsid w:val="00B43001"/>
    <w:rsid w:val="00B523E6"/>
    <w:rsid w:val="00B52D70"/>
    <w:rsid w:val="00B531AB"/>
    <w:rsid w:val="00B53C54"/>
    <w:rsid w:val="00B57E7D"/>
    <w:rsid w:val="00B602E3"/>
    <w:rsid w:val="00B60B6A"/>
    <w:rsid w:val="00B61297"/>
    <w:rsid w:val="00B64E4B"/>
    <w:rsid w:val="00B673FD"/>
    <w:rsid w:val="00B714FD"/>
    <w:rsid w:val="00B74DD2"/>
    <w:rsid w:val="00B762B1"/>
    <w:rsid w:val="00B7708E"/>
    <w:rsid w:val="00B7752F"/>
    <w:rsid w:val="00B81598"/>
    <w:rsid w:val="00B82233"/>
    <w:rsid w:val="00B83010"/>
    <w:rsid w:val="00B83EB6"/>
    <w:rsid w:val="00B842FC"/>
    <w:rsid w:val="00B85909"/>
    <w:rsid w:val="00B86426"/>
    <w:rsid w:val="00B8655A"/>
    <w:rsid w:val="00B86B93"/>
    <w:rsid w:val="00B90943"/>
    <w:rsid w:val="00B91E1A"/>
    <w:rsid w:val="00B948CB"/>
    <w:rsid w:val="00B94F42"/>
    <w:rsid w:val="00B955A2"/>
    <w:rsid w:val="00B95BE3"/>
    <w:rsid w:val="00BA0228"/>
    <w:rsid w:val="00BA2504"/>
    <w:rsid w:val="00BA37C7"/>
    <w:rsid w:val="00BA4199"/>
    <w:rsid w:val="00BA57C6"/>
    <w:rsid w:val="00BA6B4C"/>
    <w:rsid w:val="00BA701D"/>
    <w:rsid w:val="00BB030A"/>
    <w:rsid w:val="00BB0438"/>
    <w:rsid w:val="00BB1275"/>
    <w:rsid w:val="00BB1EF1"/>
    <w:rsid w:val="00BB3362"/>
    <w:rsid w:val="00BB419A"/>
    <w:rsid w:val="00BB46AD"/>
    <w:rsid w:val="00BB5DE7"/>
    <w:rsid w:val="00BB608A"/>
    <w:rsid w:val="00BB7E30"/>
    <w:rsid w:val="00BB7EE4"/>
    <w:rsid w:val="00BC0B4D"/>
    <w:rsid w:val="00BC2ADB"/>
    <w:rsid w:val="00BC2ECC"/>
    <w:rsid w:val="00BC2F24"/>
    <w:rsid w:val="00BC2F61"/>
    <w:rsid w:val="00BC3B66"/>
    <w:rsid w:val="00BC4150"/>
    <w:rsid w:val="00BC5417"/>
    <w:rsid w:val="00BC6130"/>
    <w:rsid w:val="00BC678D"/>
    <w:rsid w:val="00BC6883"/>
    <w:rsid w:val="00BC7E65"/>
    <w:rsid w:val="00BD1C40"/>
    <w:rsid w:val="00BD6904"/>
    <w:rsid w:val="00BE089B"/>
    <w:rsid w:val="00BE194C"/>
    <w:rsid w:val="00BE1DC6"/>
    <w:rsid w:val="00BE23AF"/>
    <w:rsid w:val="00BE2596"/>
    <w:rsid w:val="00BE2DD7"/>
    <w:rsid w:val="00BE5BDF"/>
    <w:rsid w:val="00BE6046"/>
    <w:rsid w:val="00BE67DE"/>
    <w:rsid w:val="00BE75A9"/>
    <w:rsid w:val="00BE7F66"/>
    <w:rsid w:val="00BF0CBC"/>
    <w:rsid w:val="00BF0F82"/>
    <w:rsid w:val="00BF2FEA"/>
    <w:rsid w:val="00BF34F4"/>
    <w:rsid w:val="00BF3845"/>
    <w:rsid w:val="00BF5C84"/>
    <w:rsid w:val="00BF6AD0"/>
    <w:rsid w:val="00BF6EC5"/>
    <w:rsid w:val="00BF6F07"/>
    <w:rsid w:val="00C01B06"/>
    <w:rsid w:val="00C026EA"/>
    <w:rsid w:val="00C026EF"/>
    <w:rsid w:val="00C0337E"/>
    <w:rsid w:val="00C0387B"/>
    <w:rsid w:val="00C052C1"/>
    <w:rsid w:val="00C07C6C"/>
    <w:rsid w:val="00C10B74"/>
    <w:rsid w:val="00C11DBB"/>
    <w:rsid w:val="00C128E0"/>
    <w:rsid w:val="00C1568C"/>
    <w:rsid w:val="00C1636A"/>
    <w:rsid w:val="00C16DBC"/>
    <w:rsid w:val="00C17B8D"/>
    <w:rsid w:val="00C2067F"/>
    <w:rsid w:val="00C21090"/>
    <w:rsid w:val="00C21D2A"/>
    <w:rsid w:val="00C21FF7"/>
    <w:rsid w:val="00C23C4A"/>
    <w:rsid w:val="00C245B9"/>
    <w:rsid w:val="00C26A1B"/>
    <w:rsid w:val="00C314AC"/>
    <w:rsid w:val="00C34A0B"/>
    <w:rsid w:val="00C34AAB"/>
    <w:rsid w:val="00C4090F"/>
    <w:rsid w:val="00C428E6"/>
    <w:rsid w:val="00C42D0E"/>
    <w:rsid w:val="00C42FE9"/>
    <w:rsid w:val="00C439E5"/>
    <w:rsid w:val="00C445B1"/>
    <w:rsid w:val="00C44B13"/>
    <w:rsid w:val="00C44E5F"/>
    <w:rsid w:val="00C45050"/>
    <w:rsid w:val="00C455F5"/>
    <w:rsid w:val="00C45C86"/>
    <w:rsid w:val="00C47353"/>
    <w:rsid w:val="00C5008E"/>
    <w:rsid w:val="00C50501"/>
    <w:rsid w:val="00C50A7F"/>
    <w:rsid w:val="00C50F2A"/>
    <w:rsid w:val="00C51521"/>
    <w:rsid w:val="00C5304D"/>
    <w:rsid w:val="00C53317"/>
    <w:rsid w:val="00C55357"/>
    <w:rsid w:val="00C55479"/>
    <w:rsid w:val="00C55544"/>
    <w:rsid w:val="00C56D84"/>
    <w:rsid w:val="00C60CF8"/>
    <w:rsid w:val="00C61467"/>
    <w:rsid w:val="00C62DB4"/>
    <w:rsid w:val="00C62FC2"/>
    <w:rsid w:val="00C63F83"/>
    <w:rsid w:val="00C65143"/>
    <w:rsid w:val="00C66230"/>
    <w:rsid w:val="00C705EB"/>
    <w:rsid w:val="00C71035"/>
    <w:rsid w:val="00C733E7"/>
    <w:rsid w:val="00C73E94"/>
    <w:rsid w:val="00C745F3"/>
    <w:rsid w:val="00C74B84"/>
    <w:rsid w:val="00C75572"/>
    <w:rsid w:val="00C808CB"/>
    <w:rsid w:val="00C86A6B"/>
    <w:rsid w:val="00C87170"/>
    <w:rsid w:val="00C90BF3"/>
    <w:rsid w:val="00C90F13"/>
    <w:rsid w:val="00C91128"/>
    <w:rsid w:val="00C915B9"/>
    <w:rsid w:val="00C91D1C"/>
    <w:rsid w:val="00C921CA"/>
    <w:rsid w:val="00C92953"/>
    <w:rsid w:val="00C93847"/>
    <w:rsid w:val="00C93C88"/>
    <w:rsid w:val="00C94C3A"/>
    <w:rsid w:val="00C96067"/>
    <w:rsid w:val="00C97CE9"/>
    <w:rsid w:val="00CA340B"/>
    <w:rsid w:val="00CA3647"/>
    <w:rsid w:val="00CA6939"/>
    <w:rsid w:val="00CB0592"/>
    <w:rsid w:val="00CB1CFF"/>
    <w:rsid w:val="00CB227E"/>
    <w:rsid w:val="00CB2D33"/>
    <w:rsid w:val="00CB31DD"/>
    <w:rsid w:val="00CB34F1"/>
    <w:rsid w:val="00CB495D"/>
    <w:rsid w:val="00CB5D65"/>
    <w:rsid w:val="00CC28AD"/>
    <w:rsid w:val="00CC2C6C"/>
    <w:rsid w:val="00CC2E07"/>
    <w:rsid w:val="00CC39C3"/>
    <w:rsid w:val="00CD180F"/>
    <w:rsid w:val="00CD1833"/>
    <w:rsid w:val="00CD22EB"/>
    <w:rsid w:val="00CD3BFE"/>
    <w:rsid w:val="00CD423A"/>
    <w:rsid w:val="00CD4806"/>
    <w:rsid w:val="00CE04D6"/>
    <w:rsid w:val="00CE0B31"/>
    <w:rsid w:val="00CE0E3C"/>
    <w:rsid w:val="00CE15C0"/>
    <w:rsid w:val="00CE1B20"/>
    <w:rsid w:val="00CE2ABB"/>
    <w:rsid w:val="00CE50B8"/>
    <w:rsid w:val="00CE551A"/>
    <w:rsid w:val="00CE7ADB"/>
    <w:rsid w:val="00CF067A"/>
    <w:rsid w:val="00CF3856"/>
    <w:rsid w:val="00CF4648"/>
    <w:rsid w:val="00CF529F"/>
    <w:rsid w:val="00CF776F"/>
    <w:rsid w:val="00CF7EF0"/>
    <w:rsid w:val="00D024A8"/>
    <w:rsid w:val="00D02740"/>
    <w:rsid w:val="00D0347E"/>
    <w:rsid w:val="00D042C9"/>
    <w:rsid w:val="00D069DE"/>
    <w:rsid w:val="00D06A2F"/>
    <w:rsid w:val="00D10768"/>
    <w:rsid w:val="00D11D87"/>
    <w:rsid w:val="00D11DE0"/>
    <w:rsid w:val="00D1352A"/>
    <w:rsid w:val="00D13899"/>
    <w:rsid w:val="00D14014"/>
    <w:rsid w:val="00D228D9"/>
    <w:rsid w:val="00D231FB"/>
    <w:rsid w:val="00D257B4"/>
    <w:rsid w:val="00D25A44"/>
    <w:rsid w:val="00D26F27"/>
    <w:rsid w:val="00D30882"/>
    <w:rsid w:val="00D31EB8"/>
    <w:rsid w:val="00D31F1A"/>
    <w:rsid w:val="00D32BEE"/>
    <w:rsid w:val="00D351BC"/>
    <w:rsid w:val="00D36D34"/>
    <w:rsid w:val="00D36FC5"/>
    <w:rsid w:val="00D37ABF"/>
    <w:rsid w:val="00D417AC"/>
    <w:rsid w:val="00D41AEA"/>
    <w:rsid w:val="00D4240F"/>
    <w:rsid w:val="00D42FD0"/>
    <w:rsid w:val="00D44749"/>
    <w:rsid w:val="00D47EF5"/>
    <w:rsid w:val="00D50D1C"/>
    <w:rsid w:val="00D513E8"/>
    <w:rsid w:val="00D5243C"/>
    <w:rsid w:val="00D540F1"/>
    <w:rsid w:val="00D54B63"/>
    <w:rsid w:val="00D56B22"/>
    <w:rsid w:val="00D56CAE"/>
    <w:rsid w:val="00D56E2E"/>
    <w:rsid w:val="00D5700D"/>
    <w:rsid w:val="00D57723"/>
    <w:rsid w:val="00D57EB4"/>
    <w:rsid w:val="00D60CF9"/>
    <w:rsid w:val="00D656AE"/>
    <w:rsid w:val="00D65769"/>
    <w:rsid w:val="00D657E9"/>
    <w:rsid w:val="00D65B98"/>
    <w:rsid w:val="00D675D0"/>
    <w:rsid w:val="00D70002"/>
    <w:rsid w:val="00D7002F"/>
    <w:rsid w:val="00D734CF"/>
    <w:rsid w:val="00D7353F"/>
    <w:rsid w:val="00D742C6"/>
    <w:rsid w:val="00D76B19"/>
    <w:rsid w:val="00D808AE"/>
    <w:rsid w:val="00D82A5F"/>
    <w:rsid w:val="00D82E15"/>
    <w:rsid w:val="00D83D3A"/>
    <w:rsid w:val="00D8529B"/>
    <w:rsid w:val="00D86619"/>
    <w:rsid w:val="00D91AFF"/>
    <w:rsid w:val="00D91FB7"/>
    <w:rsid w:val="00D93C9D"/>
    <w:rsid w:val="00D9475A"/>
    <w:rsid w:val="00D94F42"/>
    <w:rsid w:val="00D95298"/>
    <w:rsid w:val="00D95E80"/>
    <w:rsid w:val="00D963B9"/>
    <w:rsid w:val="00DA02AB"/>
    <w:rsid w:val="00DA03BA"/>
    <w:rsid w:val="00DA1695"/>
    <w:rsid w:val="00DA56F2"/>
    <w:rsid w:val="00DA5C7B"/>
    <w:rsid w:val="00DA7FBC"/>
    <w:rsid w:val="00DB1432"/>
    <w:rsid w:val="00DB3B05"/>
    <w:rsid w:val="00DB4565"/>
    <w:rsid w:val="00DB4682"/>
    <w:rsid w:val="00DB696C"/>
    <w:rsid w:val="00DB7694"/>
    <w:rsid w:val="00DC07C0"/>
    <w:rsid w:val="00DC0F00"/>
    <w:rsid w:val="00DC2429"/>
    <w:rsid w:val="00DC2ED7"/>
    <w:rsid w:val="00DC498D"/>
    <w:rsid w:val="00DC5A87"/>
    <w:rsid w:val="00DC6A74"/>
    <w:rsid w:val="00DC7CD5"/>
    <w:rsid w:val="00DD0B79"/>
    <w:rsid w:val="00DD1B97"/>
    <w:rsid w:val="00DD68A7"/>
    <w:rsid w:val="00DD68D1"/>
    <w:rsid w:val="00DE1CA2"/>
    <w:rsid w:val="00DE22DC"/>
    <w:rsid w:val="00DE27EE"/>
    <w:rsid w:val="00DE7ABC"/>
    <w:rsid w:val="00DF0248"/>
    <w:rsid w:val="00DF06D5"/>
    <w:rsid w:val="00DF1319"/>
    <w:rsid w:val="00DF1AFF"/>
    <w:rsid w:val="00DF251E"/>
    <w:rsid w:val="00DF30A3"/>
    <w:rsid w:val="00DF475B"/>
    <w:rsid w:val="00DF5B83"/>
    <w:rsid w:val="00DF7BA2"/>
    <w:rsid w:val="00E01060"/>
    <w:rsid w:val="00E013E5"/>
    <w:rsid w:val="00E03583"/>
    <w:rsid w:val="00E0495D"/>
    <w:rsid w:val="00E12005"/>
    <w:rsid w:val="00E122D1"/>
    <w:rsid w:val="00E12442"/>
    <w:rsid w:val="00E12CF6"/>
    <w:rsid w:val="00E137D3"/>
    <w:rsid w:val="00E14DA4"/>
    <w:rsid w:val="00E158B2"/>
    <w:rsid w:val="00E16A70"/>
    <w:rsid w:val="00E20D3C"/>
    <w:rsid w:val="00E22F1C"/>
    <w:rsid w:val="00E22FB9"/>
    <w:rsid w:val="00E2331C"/>
    <w:rsid w:val="00E25568"/>
    <w:rsid w:val="00E301D5"/>
    <w:rsid w:val="00E304CE"/>
    <w:rsid w:val="00E30CED"/>
    <w:rsid w:val="00E30D09"/>
    <w:rsid w:val="00E319BD"/>
    <w:rsid w:val="00E31D8B"/>
    <w:rsid w:val="00E31DCE"/>
    <w:rsid w:val="00E32407"/>
    <w:rsid w:val="00E32D83"/>
    <w:rsid w:val="00E33E20"/>
    <w:rsid w:val="00E34306"/>
    <w:rsid w:val="00E35F52"/>
    <w:rsid w:val="00E364BB"/>
    <w:rsid w:val="00E36639"/>
    <w:rsid w:val="00E36CAC"/>
    <w:rsid w:val="00E37FA0"/>
    <w:rsid w:val="00E40384"/>
    <w:rsid w:val="00E40C17"/>
    <w:rsid w:val="00E41769"/>
    <w:rsid w:val="00E4215F"/>
    <w:rsid w:val="00E43644"/>
    <w:rsid w:val="00E44801"/>
    <w:rsid w:val="00E451DA"/>
    <w:rsid w:val="00E46F36"/>
    <w:rsid w:val="00E479EC"/>
    <w:rsid w:val="00E47E9D"/>
    <w:rsid w:val="00E50A3E"/>
    <w:rsid w:val="00E51B17"/>
    <w:rsid w:val="00E51CF0"/>
    <w:rsid w:val="00E5286A"/>
    <w:rsid w:val="00E5427E"/>
    <w:rsid w:val="00E5451F"/>
    <w:rsid w:val="00E556E3"/>
    <w:rsid w:val="00E62C7D"/>
    <w:rsid w:val="00E6310B"/>
    <w:rsid w:val="00E632E3"/>
    <w:rsid w:val="00E63444"/>
    <w:rsid w:val="00E6386F"/>
    <w:rsid w:val="00E64336"/>
    <w:rsid w:val="00E645D6"/>
    <w:rsid w:val="00E64FA0"/>
    <w:rsid w:val="00E64FF1"/>
    <w:rsid w:val="00E65E11"/>
    <w:rsid w:val="00E673F7"/>
    <w:rsid w:val="00E67540"/>
    <w:rsid w:val="00E714A7"/>
    <w:rsid w:val="00E71539"/>
    <w:rsid w:val="00E71731"/>
    <w:rsid w:val="00E75C22"/>
    <w:rsid w:val="00E771AD"/>
    <w:rsid w:val="00E77B7E"/>
    <w:rsid w:val="00E77DC8"/>
    <w:rsid w:val="00E80795"/>
    <w:rsid w:val="00E82EB5"/>
    <w:rsid w:val="00E83715"/>
    <w:rsid w:val="00E8505B"/>
    <w:rsid w:val="00E86943"/>
    <w:rsid w:val="00E86C88"/>
    <w:rsid w:val="00E874D4"/>
    <w:rsid w:val="00E87A2B"/>
    <w:rsid w:val="00E87B4A"/>
    <w:rsid w:val="00E908C2"/>
    <w:rsid w:val="00E94776"/>
    <w:rsid w:val="00E94B36"/>
    <w:rsid w:val="00E94DE5"/>
    <w:rsid w:val="00E94F9A"/>
    <w:rsid w:val="00E95B5E"/>
    <w:rsid w:val="00E96467"/>
    <w:rsid w:val="00EA105B"/>
    <w:rsid w:val="00EA191E"/>
    <w:rsid w:val="00EA3FBC"/>
    <w:rsid w:val="00EA4E1A"/>
    <w:rsid w:val="00EA6575"/>
    <w:rsid w:val="00EB023B"/>
    <w:rsid w:val="00EB23B6"/>
    <w:rsid w:val="00EB2506"/>
    <w:rsid w:val="00EB3243"/>
    <w:rsid w:val="00EB33A9"/>
    <w:rsid w:val="00EB4901"/>
    <w:rsid w:val="00EB51C6"/>
    <w:rsid w:val="00EB52C6"/>
    <w:rsid w:val="00EB5B18"/>
    <w:rsid w:val="00EB62DF"/>
    <w:rsid w:val="00EB6E80"/>
    <w:rsid w:val="00EB7D03"/>
    <w:rsid w:val="00EC3B4E"/>
    <w:rsid w:val="00EC5B6E"/>
    <w:rsid w:val="00EC5D68"/>
    <w:rsid w:val="00EC7225"/>
    <w:rsid w:val="00EC7331"/>
    <w:rsid w:val="00ED12F2"/>
    <w:rsid w:val="00ED17E8"/>
    <w:rsid w:val="00ED1BC9"/>
    <w:rsid w:val="00ED2B1E"/>
    <w:rsid w:val="00ED3088"/>
    <w:rsid w:val="00ED3C4D"/>
    <w:rsid w:val="00ED4BDB"/>
    <w:rsid w:val="00ED4F27"/>
    <w:rsid w:val="00ED6D91"/>
    <w:rsid w:val="00EE046C"/>
    <w:rsid w:val="00EE310D"/>
    <w:rsid w:val="00EE3596"/>
    <w:rsid w:val="00EE3B07"/>
    <w:rsid w:val="00EE5F12"/>
    <w:rsid w:val="00EE672A"/>
    <w:rsid w:val="00EE70A1"/>
    <w:rsid w:val="00EE7CDE"/>
    <w:rsid w:val="00EF3E50"/>
    <w:rsid w:val="00EF40CA"/>
    <w:rsid w:val="00EF6044"/>
    <w:rsid w:val="00EF6177"/>
    <w:rsid w:val="00EF7C8E"/>
    <w:rsid w:val="00F0039D"/>
    <w:rsid w:val="00F003C1"/>
    <w:rsid w:val="00F01F75"/>
    <w:rsid w:val="00F029A9"/>
    <w:rsid w:val="00F0363B"/>
    <w:rsid w:val="00F04594"/>
    <w:rsid w:val="00F0467C"/>
    <w:rsid w:val="00F057E7"/>
    <w:rsid w:val="00F05ACA"/>
    <w:rsid w:val="00F1087E"/>
    <w:rsid w:val="00F10AFD"/>
    <w:rsid w:val="00F11A7F"/>
    <w:rsid w:val="00F11DDA"/>
    <w:rsid w:val="00F12212"/>
    <w:rsid w:val="00F12386"/>
    <w:rsid w:val="00F15B60"/>
    <w:rsid w:val="00F1677B"/>
    <w:rsid w:val="00F17A4D"/>
    <w:rsid w:val="00F20117"/>
    <w:rsid w:val="00F22417"/>
    <w:rsid w:val="00F22D67"/>
    <w:rsid w:val="00F2597B"/>
    <w:rsid w:val="00F3074E"/>
    <w:rsid w:val="00F31412"/>
    <w:rsid w:val="00F31E04"/>
    <w:rsid w:val="00F3251B"/>
    <w:rsid w:val="00F34054"/>
    <w:rsid w:val="00F34198"/>
    <w:rsid w:val="00F346EE"/>
    <w:rsid w:val="00F3614C"/>
    <w:rsid w:val="00F368FD"/>
    <w:rsid w:val="00F36DB4"/>
    <w:rsid w:val="00F421E6"/>
    <w:rsid w:val="00F4291D"/>
    <w:rsid w:val="00F43691"/>
    <w:rsid w:val="00F45466"/>
    <w:rsid w:val="00F454F8"/>
    <w:rsid w:val="00F461FC"/>
    <w:rsid w:val="00F467B1"/>
    <w:rsid w:val="00F474EC"/>
    <w:rsid w:val="00F522FD"/>
    <w:rsid w:val="00F5338E"/>
    <w:rsid w:val="00F53EAC"/>
    <w:rsid w:val="00F54889"/>
    <w:rsid w:val="00F5555A"/>
    <w:rsid w:val="00F57DD2"/>
    <w:rsid w:val="00F6048E"/>
    <w:rsid w:val="00F606BA"/>
    <w:rsid w:val="00F632C7"/>
    <w:rsid w:val="00F650A4"/>
    <w:rsid w:val="00F65D07"/>
    <w:rsid w:val="00F65F89"/>
    <w:rsid w:val="00F664A7"/>
    <w:rsid w:val="00F6776D"/>
    <w:rsid w:val="00F70D3C"/>
    <w:rsid w:val="00F716FB"/>
    <w:rsid w:val="00F73937"/>
    <w:rsid w:val="00F73E07"/>
    <w:rsid w:val="00F742F7"/>
    <w:rsid w:val="00F751F6"/>
    <w:rsid w:val="00F776BD"/>
    <w:rsid w:val="00F80E7D"/>
    <w:rsid w:val="00F81C09"/>
    <w:rsid w:val="00F81FAC"/>
    <w:rsid w:val="00F82036"/>
    <w:rsid w:val="00F824F8"/>
    <w:rsid w:val="00F829A6"/>
    <w:rsid w:val="00F82C99"/>
    <w:rsid w:val="00F85739"/>
    <w:rsid w:val="00F873B3"/>
    <w:rsid w:val="00F87D82"/>
    <w:rsid w:val="00F87F87"/>
    <w:rsid w:val="00F9284B"/>
    <w:rsid w:val="00F93BD4"/>
    <w:rsid w:val="00F94149"/>
    <w:rsid w:val="00F955EA"/>
    <w:rsid w:val="00F95708"/>
    <w:rsid w:val="00F959C0"/>
    <w:rsid w:val="00F95B74"/>
    <w:rsid w:val="00F976B9"/>
    <w:rsid w:val="00F979A3"/>
    <w:rsid w:val="00FA05A8"/>
    <w:rsid w:val="00FA0EDA"/>
    <w:rsid w:val="00FA0FC8"/>
    <w:rsid w:val="00FA2FE6"/>
    <w:rsid w:val="00FA306A"/>
    <w:rsid w:val="00FA3F05"/>
    <w:rsid w:val="00FA5664"/>
    <w:rsid w:val="00FA7499"/>
    <w:rsid w:val="00FA755C"/>
    <w:rsid w:val="00FB171D"/>
    <w:rsid w:val="00FB25B3"/>
    <w:rsid w:val="00FB3D97"/>
    <w:rsid w:val="00FB7617"/>
    <w:rsid w:val="00FC060F"/>
    <w:rsid w:val="00FC405F"/>
    <w:rsid w:val="00FC4B7B"/>
    <w:rsid w:val="00FC4E50"/>
    <w:rsid w:val="00FC60CC"/>
    <w:rsid w:val="00FC694C"/>
    <w:rsid w:val="00FC7A61"/>
    <w:rsid w:val="00FD028F"/>
    <w:rsid w:val="00FD0855"/>
    <w:rsid w:val="00FD0A8E"/>
    <w:rsid w:val="00FD1C10"/>
    <w:rsid w:val="00FD1CCE"/>
    <w:rsid w:val="00FD275A"/>
    <w:rsid w:val="00FD2A30"/>
    <w:rsid w:val="00FD2C4A"/>
    <w:rsid w:val="00FD311C"/>
    <w:rsid w:val="00FD37F7"/>
    <w:rsid w:val="00FD4F74"/>
    <w:rsid w:val="00FD6FA1"/>
    <w:rsid w:val="00FE0C95"/>
    <w:rsid w:val="00FE10EB"/>
    <w:rsid w:val="00FE1581"/>
    <w:rsid w:val="00FE1709"/>
    <w:rsid w:val="00FE1AEB"/>
    <w:rsid w:val="00FE1CAE"/>
    <w:rsid w:val="00FE1DF6"/>
    <w:rsid w:val="00FE24FA"/>
    <w:rsid w:val="00FE373D"/>
    <w:rsid w:val="00FE37EB"/>
    <w:rsid w:val="00FE43D1"/>
    <w:rsid w:val="00FE4E89"/>
    <w:rsid w:val="00FE5884"/>
    <w:rsid w:val="00FE5E51"/>
    <w:rsid w:val="00FE752D"/>
    <w:rsid w:val="00FF0BA4"/>
    <w:rsid w:val="00FF1612"/>
    <w:rsid w:val="00FF367D"/>
    <w:rsid w:val="00FF3961"/>
    <w:rsid w:val="00FF48C1"/>
    <w:rsid w:val="00FF655E"/>
    <w:rsid w:val="00FF66EC"/>
    <w:rsid w:val="00FF68AD"/>
    <w:rsid w:val="00FF7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4ACE0A8E"/>
  <w15:docId w15:val="{6D63AEF9-6453-4303-9B10-D984B6EA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63"/>
  </w:style>
  <w:style w:type="paragraph" w:styleId="Ttulo2">
    <w:name w:val="heading 2"/>
    <w:basedOn w:val="Normal"/>
    <w:next w:val="Normal"/>
    <w:link w:val="Ttulo2Char"/>
    <w:uiPriority w:val="9"/>
    <w:unhideWhenUsed/>
    <w:qFormat/>
    <w:rsid w:val="000664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9568E8"/>
    <w:pPr>
      <w:keepNext/>
      <w:ind w:left="-397"/>
      <w:jc w:val="center"/>
      <w:outlineLvl w:val="2"/>
    </w:pPr>
    <w:rPr>
      <w:rFonts w:ascii="Arial" w:hAnsi="Arial" w:cs="Arial"/>
      <w:sz w:val="24"/>
    </w:rPr>
  </w:style>
  <w:style w:type="paragraph" w:styleId="Ttulo4">
    <w:name w:val="heading 4"/>
    <w:basedOn w:val="Normal"/>
    <w:next w:val="Normal"/>
    <w:link w:val="Ttulo4Char"/>
    <w:uiPriority w:val="9"/>
    <w:unhideWhenUsed/>
    <w:qFormat/>
    <w:rsid w:val="009D2A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
    <w:name w:val="Body Text"/>
    <w:basedOn w:val="Normal"/>
    <w:link w:val="CorpodetextoChar"/>
    <w:pPr>
      <w:jc w:val="both"/>
    </w:pPr>
    <w:rPr>
      <w:rFonts w:ascii="Arial" w:hAnsi="Arial"/>
      <w:sz w:val="22"/>
    </w:rPr>
  </w:style>
  <w:style w:type="paragraph" w:styleId="Textoembloco">
    <w:name w:val="Block Text"/>
    <w:basedOn w:val="Normal"/>
    <w:pPr>
      <w:numPr>
        <w:ilvl w:val="12"/>
      </w:numPr>
      <w:ind w:left="993" w:right="-1" w:hanging="993"/>
      <w:jc w:val="both"/>
    </w:pPr>
    <w:rPr>
      <w:rFonts w:ascii="Arial" w:hAnsi="Arial"/>
      <w:sz w:val="22"/>
    </w:rPr>
  </w:style>
  <w:style w:type="paragraph" w:styleId="Corpodetexto2">
    <w:name w:val="Body Text 2"/>
    <w:basedOn w:val="Normal"/>
    <w:pPr>
      <w:tabs>
        <w:tab w:val="left" w:pos="851"/>
      </w:tabs>
      <w:ind w:right="-1"/>
      <w:jc w:val="both"/>
    </w:pPr>
    <w:rPr>
      <w:rFonts w:ascii="Arial" w:hAnsi="Arial"/>
      <w:sz w:val="22"/>
      <w:u w:val="single"/>
    </w:rPr>
  </w:style>
  <w:style w:type="paragraph" w:styleId="Corpodetexto3">
    <w:name w:val="Body Text 3"/>
    <w:basedOn w:val="Normal"/>
    <w:link w:val="Corpodetexto3Char"/>
    <w:pPr>
      <w:jc w:val="both"/>
    </w:pPr>
    <w:rPr>
      <w:rFonts w:ascii="Arial" w:hAnsi="Arial"/>
      <w:sz w:val="22"/>
      <w:u w:val="single"/>
    </w:rPr>
  </w:style>
  <w:style w:type="paragraph" w:styleId="Textodebalo">
    <w:name w:val="Balloon Text"/>
    <w:basedOn w:val="Normal"/>
    <w:semiHidden/>
    <w:rPr>
      <w:rFonts w:ascii="Tahoma" w:hAnsi="Tahoma" w:cs="Tahoma"/>
      <w:sz w:val="16"/>
      <w:szCs w:val="16"/>
    </w:rPr>
  </w:style>
  <w:style w:type="character" w:styleId="Hyperlink">
    <w:name w:val="Hyperlink"/>
    <w:rsid w:val="00BA701D"/>
    <w:rPr>
      <w:color w:val="0000FF"/>
      <w:u w:val="single"/>
    </w:rPr>
  </w:style>
  <w:style w:type="paragraph" w:customStyle="1" w:styleId="CharChar">
    <w:name w:val="Char Char"/>
    <w:basedOn w:val="Normal"/>
    <w:rsid w:val="00877087"/>
    <w:pPr>
      <w:spacing w:after="160" w:line="240" w:lineRule="exact"/>
    </w:pPr>
    <w:rPr>
      <w:rFonts w:ascii="Verdana" w:hAnsi="Verdana"/>
      <w:b/>
      <w:lang w:val="en-US" w:eastAsia="en-US"/>
    </w:rPr>
  </w:style>
  <w:style w:type="paragraph" w:customStyle="1" w:styleId="NormalArial">
    <w:name w:val="Normal + Arial"/>
    <w:aliases w:val="Negrito,Itálico,Azul escuro,Normal + Arial (W1),12 pt"/>
    <w:basedOn w:val="Normal"/>
    <w:link w:val="NormalArialNegritoItlicoAzulescuroChar"/>
    <w:rsid w:val="00604F3C"/>
    <w:rPr>
      <w:rFonts w:ascii="Arial" w:hAnsi="Arial" w:cs="Arial"/>
      <w:b/>
      <w:bCs/>
      <w:i/>
      <w:color w:val="000080"/>
    </w:rPr>
  </w:style>
  <w:style w:type="character" w:customStyle="1" w:styleId="NormalArialNegritoItlicoAzulescuroChar">
    <w:name w:val="Normal + Arial;Negrito;Itálico;Azul escuro Char"/>
    <w:link w:val="NormalArial"/>
    <w:rsid w:val="00977F85"/>
    <w:rPr>
      <w:rFonts w:ascii="Arial" w:hAnsi="Arial" w:cs="Arial"/>
      <w:b/>
      <w:bCs/>
      <w:i/>
      <w:color w:val="000080"/>
    </w:rPr>
  </w:style>
  <w:style w:type="paragraph" w:styleId="Reviso">
    <w:name w:val="Revision"/>
    <w:hidden/>
    <w:uiPriority w:val="99"/>
    <w:semiHidden/>
    <w:rsid w:val="00F82C99"/>
  </w:style>
  <w:style w:type="paragraph" w:customStyle="1" w:styleId="BNDES">
    <w:name w:val="BNDES"/>
    <w:link w:val="BNDESChar"/>
    <w:qFormat/>
    <w:rsid w:val="00604F3C"/>
    <w:pPr>
      <w:jc w:val="both"/>
    </w:pPr>
    <w:rPr>
      <w:rFonts w:ascii="Arial" w:hAnsi="Arial"/>
      <w:sz w:val="24"/>
    </w:rPr>
  </w:style>
  <w:style w:type="character" w:customStyle="1" w:styleId="BNDESChar">
    <w:name w:val="BNDES Char"/>
    <w:link w:val="BNDES"/>
    <w:qFormat/>
    <w:rsid w:val="001214F7"/>
    <w:rPr>
      <w:rFonts w:ascii="Arial" w:hAnsi="Arial"/>
      <w:sz w:val="24"/>
    </w:rPr>
  </w:style>
  <w:style w:type="paragraph" w:styleId="Textodecomentrio">
    <w:name w:val="annotation text"/>
    <w:basedOn w:val="Normal"/>
    <w:link w:val="TextodecomentrioChar"/>
    <w:uiPriority w:val="99"/>
    <w:unhideWhenUsed/>
    <w:rsid w:val="00677294"/>
  </w:style>
  <w:style w:type="character" w:customStyle="1" w:styleId="TextodecomentrioChar">
    <w:name w:val="Texto de comentário Char"/>
    <w:basedOn w:val="Fontepargpadro"/>
    <w:link w:val="Textodecomentrio"/>
    <w:uiPriority w:val="99"/>
    <w:rsid w:val="00677294"/>
  </w:style>
  <w:style w:type="character" w:customStyle="1" w:styleId="CorpodetextoChar">
    <w:name w:val="Corpo de texto Char"/>
    <w:link w:val="Corpodetexto"/>
    <w:rsid w:val="00677294"/>
    <w:rPr>
      <w:rFonts w:ascii="Arial" w:hAnsi="Arial"/>
      <w:sz w:val="22"/>
    </w:rPr>
  </w:style>
  <w:style w:type="character" w:styleId="Refdecomentrio">
    <w:name w:val="annotation reference"/>
    <w:uiPriority w:val="99"/>
    <w:semiHidden/>
    <w:unhideWhenUsed/>
    <w:rsid w:val="00677294"/>
    <w:rPr>
      <w:sz w:val="16"/>
      <w:szCs w:val="16"/>
    </w:rPr>
  </w:style>
  <w:style w:type="paragraph" w:customStyle="1" w:styleId="Corpodetexto21">
    <w:name w:val="Corpo de texto 21"/>
    <w:basedOn w:val="Normal"/>
    <w:rsid w:val="003D199F"/>
    <w:pPr>
      <w:keepNext/>
      <w:tabs>
        <w:tab w:val="left" w:pos="1134"/>
        <w:tab w:val="left" w:pos="1570"/>
        <w:tab w:val="left" w:pos="2694"/>
      </w:tabs>
      <w:overflowPunct w:val="0"/>
      <w:autoSpaceDE w:val="0"/>
      <w:autoSpaceDN w:val="0"/>
      <w:adjustRightInd w:val="0"/>
      <w:spacing w:before="120" w:after="120"/>
      <w:ind w:left="1843"/>
      <w:jc w:val="both"/>
      <w:textAlignment w:val="baseline"/>
    </w:pPr>
    <w:rPr>
      <w:rFonts w:ascii="Arial" w:hAnsi="Arial"/>
      <w:sz w:val="24"/>
    </w:rPr>
  </w:style>
  <w:style w:type="paragraph" w:customStyle="1" w:styleId="Char">
    <w:name w:val="Char"/>
    <w:basedOn w:val="Normal"/>
    <w:rsid w:val="00DC2429"/>
    <w:pPr>
      <w:spacing w:after="160" w:line="240" w:lineRule="exact"/>
    </w:pPr>
    <w:rPr>
      <w:rFonts w:ascii="Verdana" w:hAnsi="Verdana"/>
      <w:b/>
      <w:lang w:val="en-US" w:eastAsia="en-US"/>
    </w:rPr>
  </w:style>
  <w:style w:type="paragraph" w:customStyle="1" w:styleId="CharCharCharCharChar">
    <w:name w:val="Char Char Char Char Char"/>
    <w:basedOn w:val="Normal"/>
    <w:rsid w:val="00EE046C"/>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semiHidden/>
    <w:unhideWhenUsed/>
    <w:rsid w:val="00EE046C"/>
    <w:rPr>
      <w:b/>
      <w:bCs/>
    </w:rPr>
  </w:style>
  <w:style w:type="character" w:customStyle="1" w:styleId="AssuntodocomentrioChar">
    <w:name w:val="Assunto do comentário Char"/>
    <w:link w:val="Assuntodocomentrio"/>
    <w:uiPriority w:val="99"/>
    <w:semiHidden/>
    <w:rsid w:val="00EE046C"/>
    <w:rPr>
      <w:b/>
      <w:bCs/>
    </w:rPr>
  </w:style>
  <w:style w:type="character" w:customStyle="1" w:styleId="Corpodetexto3Char">
    <w:name w:val="Corpo de texto 3 Char"/>
    <w:link w:val="Corpodetexto3"/>
    <w:rsid w:val="00A0738A"/>
    <w:rPr>
      <w:rFonts w:ascii="Arial" w:hAnsi="Arial"/>
      <w:sz w:val="22"/>
      <w:u w:val="single"/>
    </w:rPr>
  </w:style>
  <w:style w:type="paragraph" w:styleId="PargrafodaLista">
    <w:name w:val="List Paragraph"/>
    <w:basedOn w:val="Normal"/>
    <w:uiPriority w:val="34"/>
    <w:qFormat/>
    <w:rsid w:val="00F45466"/>
    <w:pPr>
      <w:ind w:left="709"/>
    </w:pPr>
  </w:style>
  <w:style w:type="paragraph" w:styleId="NormalWeb">
    <w:name w:val="Normal (Web)"/>
    <w:basedOn w:val="Normal"/>
    <w:uiPriority w:val="99"/>
    <w:semiHidden/>
    <w:unhideWhenUsed/>
    <w:rsid w:val="00B7752F"/>
    <w:pPr>
      <w:spacing w:before="100" w:beforeAutospacing="1" w:after="100" w:afterAutospacing="1"/>
    </w:pPr>
    <w:rPr>
      <w:sz w:val="24"/>
      <w:szCs w:val="24"/>
    </w:rPr>
  </w:style>
  <w:style w:type="character" w:customStyle="1" w:styleId="Ttulo3Char">
    <w:name w:val="Título 3 Char"/>
    <w:basedOn w:val="Fontepargpadro"/>
    <w:link w:val="Ttulo3"/>
    <w:rsid w:val="009568E8"/>
    <w:rPr>
      <w:rFonts w:ascii="Arial" w:hAnsi="Arial" w:cs="Arial"/>
      <w:sz w:val="24"/>
    </w:rPr>
  </w:style>
  <w:style w:type="paragraph" w:styleId="Commarcadores">
    <w:name w:val="List Bullet"/>
    <w:basedOn w:val="Normal"/>
    <w:uiPriority w:val="99"/>
    <w:unhideWhenUsed/>
    <w:rsid w:val="00414A24"/>
    <w:pPr>
      <w:numPr>
        <w:numId w:val="43"/>
      </w:numPr>
      <w:contextualSpacing/>
    </w:pPr>
  </w:style>
  <w:style w:type="paragraph" w:customStyle="1" w:styleId="ax">
    <w:name w:val="a.x)"/>
    <w:rsid w:val="00E95B5E"/>
    <w:pPr>
      <w:spacing w:before="240" w:after="120"/>
      <w:ind w:left="1276" w:hanging="709"/>
      <w:jc w:val="both"/>
    </w:pPr>
    <w:rPr>
      <w:rFonts w:ascii="Arial" w:hAnsi="Arial"/>
      <w:sz w:val="24"/>
    </w:rPr>
  </w:style>
  <w:style w:type="paragraph" w:customStyle="1" w:styleId="CharCharCharCharCharCharCharCharCharCharChar">
    <w:name w:val="Char Char Char Char Char Char Char Char Char Char Char"/>
    <w:basedOn w:val="Normal"/>
    <w:rsid w:val="00E95B5E"/>
    <w:pPr>
      <w:spacing w:after="160" w:line="240" w:lineRule="exact"/>
    </w:pPr>
    <w:rPr>
      <w:rFonts w:ascii="Verdana" w:hAnsi="Verdana" w:cs="Verdana"/>
      <w:lang w:val="en-US" w:eastAsia="en-US"/>
    </w:rPr>
  </w:style>
  <w:style w:type="paragraph" w:styleId="Recuodecorpodetexto">
    <w:name w:val="Body Text Indent"/>
    <w:basedOn w:val="Normal"/>
    <w:link w:val="RecuodecorpodetextoChar"/>
    <w:uiPriority w:val="99"/>
    <w:semiHidden/>
    <w:unhideWhenUsed/>
    <w:rsid w:val="004F0731"/>
    <w:pPr>
      <w:spacing w:after="120"/>
      <w:ind w:left="283"/>
    </w:pPr>
  </w:style>
  <w:style w:type="character" w:customStyle="1" w:styleId="RecuodecorpodetextoChar">
    <w:name w:val="Recuo de corpo de texto Char"/>
    <w:basedOn w:val="Fontepargpadro"/>
    <w:link w:val="Recuodecorpodetexto"/>
    <w:uiPriority w:val="99"/>
    <w:semiHidden/>
    <w:rsid w:val="004F0731"/>
  </w:style>
  <w:style w:type="table" w:styleId="Tabelacomgrade">
    <w:name w:val="Table Grid"/>
    <w:basedOn w:val="Tabelanormal"/>
    <w:uiPriority w:val="59"/>
    <w:rsid w:val="0099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3">
    <w:name w:val="Char Char Char Char Char Char Char Char Char Char Char3"/>
    <w:basedOn w:val="Normal"/>
    <w:rsid w:val="009D2AB4"/>
    <w:pPr>
      <w:spacing w:after="160" w:line="240" w:lineRule="exact"/>
    </w:pPr>
    <w:rPr>
      <w:rFonts w:ascii="Verdana" w:hAnsi="Verdana" w:cs="Verdana"/>
      <w:lang w:val="en-US" w:eastAsia="en-US"/>
    </w:rPr>
  </w:style>
  <w:style w:type="character" w:customStyle="1" w:styleId="Ttulo4Char">
    <w:name w:val="Título 4 Char"/>
    <w:basedOn w:val="Fontepargpadro"/>
    <w:link w:val="Ttulo4"/>
    <w:uiPriority w:val="9"/>
    <w:rsid w:val="009D2AB4"/>
    <w:rPr>
      <w:rFonts w:asciiTheme="majorHAnsi" w:eastAsiaTheme="majorEastAsia" w:hAnsiTheme="majorHAnsi" w:cstheme="majorBidi"/>
      <w:i/>
      <w:iCs/>
      <w:color w:val="365F91" w:themeColor="accent1" w:themeShade="BF"/>
    </w:rPr>
  </w:style>
  <w:style w:type="paragraph" w:styleId="Textodenotaderodap">
    <w:name w:val="footnote text"/>
    <w:basedOn w:val="Normal"/>
    <w:link w:val="TextodenotaderodapChar"/>
    <w:uiPriority w:val="99"/>
    <w:semiHidden/>
    <w:unhideWhenUsed/>
    <w:rsid w:val="009D2AB4"/>
  </w:style>
  <w:style w:type="character" w:customStyle="1" w:styleId="TextodenotaderodapChar">
    <w:name w:val="Texto de nota de rodapé Char"/>
    <w:basedOn w:val="Fontepargpadro"/>
    <w:link w:val="Textodenotaderodap"/>
    <w:uiPriority w:val="99"/>
    <w:semiHidden/>
    <w:rsid w:val="009D2AB4"/>
  </w:style>
  <w:style w:type="character" w:styleId="Refdenotaderodap">
    <w:name w:val="footnote reference"/>
    <w:basedOn w:val="Fontepargpadro"/>
    <w:uiPriority w:val="99"/>
    <w:semiHidden/>
    <w:unhideWhenUsed/>
    <w:rsid w:val="009D2AB4"/>
    <w:rPr>
      <w:vertAlign w:val="superscript"/>
    </w:rPr>
  </w:style>
  <w:style w:type="paragraph" w:customStyle="1" w:styleId="CharCharCharCharCharCharCharCharCharCharChar2">
    <w:name w:val="Char Char Char Char Char Char Char Char Char Char Char2"/>
    <w:basedOn w:val="Normal"/>
    <w:rsid w:val="00C915B9"/>
    <w:pPr>
      <w:spacing w:after="160" w:line="240" w:lineRule="exact"/>
    </w:pPr>
    <w:rPr>
      <w:rFonts w:ascii="Verdana" w:hAnsi="Verdana" w:cs="Verdana"/>
      <w:lang w:val="en-US" w:eastAsia="en-US"/>
    </w:rPr>
  </w:style>
  <w:style w:type="paragraph" w:customStyle="1" w:styleId="a">
    <w:name w:val="a)"/>
    <w:next w:val="Normal"/>
    <w:rsid w:val="00C50F2A"/>
    <w:pPr>
      <w:spacing w:before="360" w:after="120"/>
      <w:ind w:left="567" w:hanging="567"/>
      <w:jc w:val="both"/>
    </w:pPr>
    <w:rPr>
      <w:rFonts w:ascii="Arial" w:hAnsi="Arial"/>
      <w:sz w:val="24"/>
    </w:rPr>
  </w:style>
  <w:style w:type="paragraph" w:customStyle="1" w:styleId="axx">
    <w:name w:val="a.x.x)"/>
    <w:basedOn w:val="ax"/>
    <w:rsid w:val="00C50F2A"/>
    <w:pPr>
      <w:spacing w:before="120"/>
      <w:ind w:left="2268" w:hanging="992"/>
    </w:pPr>
  </w:style>
  <w:style w:type="paragraph" w:customStyle="1" w:styleId="CharCharCharCharCharCharCharCharCharCharChar1">
    <w:name w:val="Char Char Char Char Char Char Char Char Char Char Char1"/>
    <w:basedOn w:val="Normal"/>
    <w:rsid w:val="00E86943"/>
    <w:pPr>
      <w:spacing w:after="160" w:line="240" w:lineRule="exact"/>
    </w:pPr>
    <w:rPr>
      <w:rFonts w:ascii="Verdana" w:hAnsi="Verdana" w:cs="Verdana"/>
      <w:lang w:val="en-US" w:eastAsia="en-US"/>
    </w:rPr>
  </w:style>
  <w:style w:type="paragraph" w:customStyle="1" w:styleId="numeroON">
    <w:name w:val="numero ON"/>
    <w:rsid w:val="00340946"/>
    <w:pPr>
      <w:spacing w:before="120" w:after="360"/>
      <w:jc w:val="center"/>
    </w:pPr>
    <w:rPr>
      <w:rFonts w:ascii="Arial" w:hAnsi="Arial"/>
      <w:b/>
      <w:bCs/>
      <w:caps/>
      <w:sz w:val="24"/>
    </w:rPr>
  </w:style>
  <w:style w:type="paragraph" w:customStyle="1" w:styleId="CharCharCharCharCharCharCharCharCharCharChar0">
    <w:name w:val="Char Char Char Char Char Char Char Char Char Char Char"/>
    <w:basedOn w:val="Normal"/>
    <w:rsid w:val="00340946"/>
    <w:pPr>
      <w:spacing w:after="160" w:line="240" w:lineRule="exact"/>
    </w:pPr>
    <w:rPr>
      <w:rFonts w:ascii="Verdana" w:hAnsi="Verdana" w:cs="Verdana"/>
      <w:lang w:val="en-US" w:eastAsia="en-US"/>
    </w:rPr>
  </w:style>
  <w:style w:type="character" w:customStyle="1" w:styleId="Ttulo2Char">
    <w:name w:val="Título 2 Char"/>
    <w:basedOn w:val="Fontepargpadro"/>
    <w:link w:val="Ttulo2"/>
    <w:uiPriority w:val="9"/>
    <w:rsid w:val="000664D2"/>
    <w:rPr>
      <w:rFonts w:asciiTheme="majorHAnsi" w:eastAsiaTheme="majorEastAsia" w:hAnsiTheme="majorHAnsi" w:cstheme="majorBidi"/>
      <w:color w:val="365F91" w:themeColor="accent1" w:themeShade="BF"/>
      <w:sz w:val="26"/>
      <w:szCs w:val="26"/>
    </w:rPr>
  </w:style>
  <w:style w:type="paragraph" w:customStyle="1" w:styleId="axxx">
    <w:name w:val="a.x.x.x)"/>
    <w:basedOn w:val="BNDES"/>
    <w:rsid w:val="00557ED0"/>
    <w:pPr>
      <w:tabs>
        <w:tab w:val="right" w:pos="9072"/>
      </w:tabs>
      <w:spacing w:before="120" w:after="120"/>
      <w:ind w:left="2836" w:hanging="851"/>
    </w:pPr>
  </w:style>
  <w:style w:type="paragraph" w:customStyle="1" w:styleId="NormalOptimum">
    <w:name w:val="Normal Optimum"/>
    <w:link w:val="NormalOptimumChar"/>
    <w:rsid w:val="00557ED0"/>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557ED0"/>
    <w:rPr>
      <w:rFonts w:ascii="Optimum" w:hAnsi="Optimum" w:cs="Arial"/>
      <w:sz w:val="24"/>
      <w:szCs w:val="24"/>
    </w:rPr>
  </w:style>
  <w:style w:type="paragraph" w:customStyle="1" w:styleId="CharCharCharCharCharCharCharCharCharCharChar4">
    <w:name w:val="Char Char Char Char Char Char Char Char Char Char Char"/>
    <w:basedOn w:val="Normal"/>
    <w:rsid w:val="007A4415"/>
    <w:pPr>
      <w:spacing w:after="160" w:line="240" w:lineRule="exact"/>
    </w:pPr>
    <w:rPr>
      <w:rFonts w:ascii="Verdana" w:hAnsi="Verdana" w:cs="Verdana"/>
      <w:lang w:val="en-US" w:eastAsia="en-US"/>
    </w:rPr>
  </w:style>
  <w:style w:type="paragraph" w:customStyle="1" w:styleId="CharCharCharCharCharCharCharCharCharCharChar5">
    <w:name w:val="Char Char Char Char Char Char Char Char Char Char Char"/>
    <w:basedOn w:val="Normal"/>
    <w:rsid w:val="0027322C"/>
    <w:pPr>
      <w:spacing w:after="160" w:line="240" w:lineRule="exact"/>
    </w:pPr>
    <w:rPr>
      <w:rFonts w:ascii="Verdana" w:hAnsi="Verdana" w:cs="Verdana"/>
      <w:lang w:val="en-US" w:eastAsia="en-US"/>
    </w:rPr>
  </w:style>
  <w:style w:type="character" w:styleId="HiperlinkVisitado">
    <w:name w:val="FollowedHyperlink"/>
    <w:basedOn w:val="Fontepargpadro"/>
    <w:uiPriority w:val="99"/>
    <w:semiHidden/>
    <w:unhideWhenUsed/>
    <w:rsid w:val="00B0671C"/>
    <w:rPr>
      <w:color w:val="800080" w:themeColor="followedHyperlink"/>
      <w:u w:val="single"/>
    </w:rPr>
  </w:style>
  <w:style w:type="paragraph" w:customStyle="1" w:styleId="CharCharCharCharCharCharCharCharCharCharChar6">
    <w:name w:val="Char Char Char Char Char Char Char Char Char Char Char"/>
    <w:basedOn w:val="Normal"/>
    <w:rsid w:val="0030007B"/>
    <w:pPr>
      <w:spacing w:after="160" w:line="240" w:lineRule="exact"/>
    </w:pPr>
    <w:rPr>
      <w:rFonts w:ascii="Verdana" w:hAnsi="Verdana" w:cs="Verdana"/>
      <w:lang w:val="en-US" w:eastAsia="en-US"/>
    </w:rPr>
  </w:style>
  <w:style w:type="paragraph" w:customStyle="1" w:styleId="CharCharCharCharCharCharCharCharCharCharChar7">
    <w:name w:val="Char Char Char Char Char Char Char Char Char Char Char"/>
    <w:basedOn w:val="Normal"/>
    <w:rsid w:val="00D95E80"/>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95314">
      <w:bodyDiv w:val="1"/>
      <w:marLeft w:val="0"/>
      <w:marRight w:val="0"/>
      <w:marTop w:val="0"/>
      <w:marBottom w:val="0"/>
      <w:divBdr>
        <w:top w:val="none" w:sz="0" w:space="0" w:color="auto"/>
        <w:left w:val="none" w:sz="0" w:space="0" w:color="auto"/>
        <w:bottom w:val="none" w:sz="0" w:space="0" w:color="auto"/>
        <w:right w:val="none" w:sz="0" w:space="0" w:color="auto"/>
      </w:divBdr>
    </w:div>
    <w:div w:id="338629875">
      <w:bodyDiv w:val="1"/>
      <w:marLeft w:val="0"/>
      <w:marRight w:val="0"/>
      <w:marTop w:val="0"/>
      <w:marBottom w:val="0"/>
      <w:divBdr>
        <w:top w:val="none" w:sz="0" w:space="0" w:color="auto"/>
        <w:left w:val="none" w:sz="0" w:space="0" w:color="auto"/>
        <w:bottom w:val="none" w:sz="0" w:space="0" w:color="auto"/>
        <w:right w:val="none" w:sz="0" w:space="0" w:color="auto"/>
      </w:divBdr>
    </w:div>
    <w:div w:id="455954727">
      <w:bodyDiv w:val="1"/>
      <w:marLeft w:val="0"/>
      <w:marRight w:val="0"/>
      <w:marTop w:val="0"/>
      <w:marBottom w:val="0"/>
      <w:divBdr>
        <w:top w:val="none" w:sz="0" w:space="0" w:color="auto"/>
        <w:left w:val="none" w:sz="0" w:space="0" w:color="auto"/>
        <w:bottom w:val="none" w:sz="0" w:space="0" w:color="auto"/>
        <w:right w:val="none" w:sz="0" w:space="0" w:color="auto"/>
      </w:divBdr>
    </w:div>
    <w:div w:id="554971394">
      <w:bodyDiv w:val="1"/>
      <w:marLeft w:val="0"/>
      <w:marRight w:val="0"/>
      <w:marTop w:val="0"/>
      <w:marBottom w:val="0"/>
      <w:divBdr>
        <w:top w:val="none" w:sz="0" w:space="0" w:color="auto"/>
        <w:left w:val="none" w:sz="0" w:space="0" w:color="auto"/>
        <w:bottom w:val="none" w:sz="0" w:space="0" w:color="auto"/>
        <w:right w:val="none" w:sz="0" w:space="0" w:color="auto"/>
      </w:divBdr>
    </w:div>
    <w:div w:id="1595086542">
      <w:bodyDiv w:val="1"/>
      <w:marLeft w:val="0"/>
      <w:marRight w:val="0"/>
      <w:marTop w:val="0"/>
      <w:marBottom w:val="0"/>
      <w:divBdr>
        <w:top w:val="none" w:sz="0" w:space="0" w:color="auto"/>
        <w:left w:val="none" w:sz="0" w:space="0" w:color="auto"/>
        <w:bottom w:val="none" w:sz="0" w:space="0" w:color="auto"/>
        <w:right w:val="none" w:sz="0" w:space="0" w:color="auto"/>
      </w:divBdr>
    </w:div>
    <w:div w:id="1633247021">
      <w:bodyDiv w:val="1"/>
      <w:marLeft w:val="0"/>
      <w:marRight w:val="0"/>
      <w:marTop w:val="0"/>
      <w:marBottom w:val="0"/>
      <w:divBdr>
        <w:top w:val="none" w:sz="0" w:space="0" w:color="auto"/>
        <w:left w:val="none" w:sz="0" w:space="0" w:color="auto"/>
        <w:bottom w:val="none" w:sz="0" w:space="0" w:color="auto"/>
        <w:right w:val="none" w:sz="0" w:space="0" w:color="auto"/>
      </w:divBdr>
    </w:div>
    <w:div w:id="1805005424">
      <w:bodyDiv w:val="1"/>
      <w:marLeft w:val="0"/>
      <w:marRight w:val="0"/>
      <w:marTop w:val="0"/>
      <w:marBottom w:val="0"/>
      <w:divBdr>
        <w:top w:val="none" w:sz="0" w:space="0" w:color="auto"/>
        <w:left w:val="none" w:sz="0" w:space="0" w:color="auto"/>
        <w:bottom w:val="none" w:sz="0" w:space="0" w:color="auto"/>
        <w:right w:val="none" w:sz="0" w:space="0" w:color="auto"/>
      </w:divBdr>
    </w:div>
    <w:div w:id="1886016541">
      <w:bodyDiv w:val="1"/>
      <w:marLeft w:val="0"/>
      <w:marRight w:val="0"/>
      <w:marTop w:val="0"/>
      <w:marBottom w:val="0"/>
      <w:divBdr>
        <w:top w:val="none" w:sz="0" w:space="0" w:color="auto"/>
        <w:left w:val="none" w:sz="0" w:space="0" w:color="auto"/>
        <w:bottom w:val="none" w:sz="0" w:space="0" w:color="auto"/>
        <w:right w:val="none" w:sz="0" w:space="0" w:color="auto"/>
      </w:divBdr>
    </w:div>
    <w:div w:id="21021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ndes.gov.br/SiteBNDES/bndes/bndes_pt/Ferramentas_e_Normas/Moedas_Contratuais/"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bndes.gov.br/SiteBNDES/bndes/bndes_pt/Ferramentas_e_Normas/Moedas_Contratuai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ndes.gov.br/SiteBNDES/bndes/bndes_pt/Ferramentas_e_Normas/Moedas_Contratuais" TargetMode="External"/><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www.un.org/sc/suborg/en/sanctions/un-sc-consolidated-list"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bndes.gov.br/SiteBNDES/bndes/bndes_pt/Ferramentas_e_Normas/Moedas_Contratuais/" TargetMode="External"/><Relationship Id="rId28" Type="http://schemas.openxmlformats.org/officeDocument/2006/relationships/fontTable" Target="fontTable.xml"/><Relationship Id="rId10" Type="http://schemas.openxmlformats.org/officeDocument/2006/relationships/hyperlink" Target="http://www.bndes.gov.br/SiteBNDES/bndes/bndes_pt/Ferramentas_e_Normas/Moedas_Contratuais/"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hyperlink" Target="http://www.bndes.gov.br/SiteBNDES/bndes/bndes_pt/Ferramentas_e_Normas/Moedas_Contratuais"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wmf"/></Relationships>
</file>

<file path=word/_rels/header3.xml.rels><?xml version="1.0" encoding="UTF-8" standalone="yes"?>
<Relationships xmlns="http://schemas.openxmlformats.org/package/2006/relationships"><Relationship Id="rId1" Type="http://schemas.openxmlformats.org/officeDocument/2006/relationships/image" Target="media/image1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1EB2-FB49-4076-87DD-0BEB7E07FB19}">
  <ds:schemaRefs>
    <ds:schemaRef ds:uri="http://schemas.openxmlformats.org/officeDocument/2006/bibliography"/>
  </ds:schemaRefs>
</ds:datastoreItem>
</file>

<file path=docMetadata/LabelInfo.xml><?xml version="1.0" encoding="utf-8"?>
<clbl:labelList xmlns:clbl="http://schemas.microsoft.com/office/2020/mipLabelMetadata">
  <clbl:label id="{7c218cf9-7188-4e4f-9787-a8019ac003f1}" enabled="1" method="Privileged" siteId="{7e2324c6-6925-427e-b56d-4e6eda167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36</Pages>
  <Words>13185</Words>
  <Characters>71202</Characters>
  <Application>Microsoft Office Word</Application>
  <DocSecurity>8</DocSecurity>
  <Lines>593</Lines>
  <Paragraphs>168</Paragraphs>
  <ScaleCrop>false</ScaleCrop>
  <HeadingPairs>
    <vt:vector size="2" baseType="variant">
      <vt:variant>
        <vt:lpstr>Título</vt:lpstr>
      </vt:variant>
      <vt:variant>
        <vt:i4>1</vt:i4>
      </vt:variant>
    </vt:vector>
  </HeadingPairs>
  <TitlesOfParts>
    <vt:vector size="1" baseType="lpstr">
      <vt:lpstr>Anexo XII à Circular SUP/AOI nº 09/2014-BNDES, de 02.04.2014</vt:lpstr>
    </vt:vector>
  </TitlesOfParts>
  <Company>BNDES</Company>
  <LinksUpToDate>false</LinksUpToDate>
  <CharactersWithSpaces>84219</CharactersWithSpaces>
  <SharedDoc>false</SharedDoc>
  <HLinks>
    <vt:vector size="30" baseType="variant">
      <vt:variant>
        <vt:i4>4456450</vt:i4>
      </vt:variant>
      <vt:variant>
        <vt:i4>12</vt:i4>
      </vt:variant>
      <vt:variant>
        <vt:i4>0</vt:i4>
      </vt:variant>
      <vt:variant>
        <vt:i4>5</vt:i4>
      </vt:variant>
      <vt:variant>
        <vt:lpwstr>https://www.un.org/sc/suborg/en/sanctions/un-sc-consolidated-list</vt:lpwstr>
      </vt:variant>
      <vt:variant>
        <vt:lpwstr/>
      </vt:variant>
      <vt:variant>
        <vt:i4>131142</vt:i4>
      </vt:variant>
      <vt:variant>
        <vt:i4>9</vt:i4>
      </vt:variant>
      <vt:variant>
        <vt:i4>0</vt:i4>
      </vt:variant>
      <vt:variant>
        <vt:i4>5</vt:i4>
      </vt:variant>
      <vt:variant>
        <vt:lpwstr>http://www.bndes.gov.br/</vt:lpwstr>
      </vt:variant>
      <vt:variant>
        <vt:lpwstr/>
      </vt:variant>
      <vt:variant>
        <vt:i4>131142</vt:i4>
      </vt:variant>
      <vt:variant>
        <vt:i4>6</vt:i4>
      </vt:variant>
      <vt:variant>
        <vt:i4>0</vt:i4>
      </vt:variant>
      <vt:variant>
        <vt:i4>5</vt:i4>
      </vt:variant>
      <vt:variant>
        <vt:lpwstr>http://www.bndes.gov.br/</vt:lpwstr>
      </vt:variant>
      <vt:variant>
        <vt:lpwstr/>
      </vt:variant>
      <vt:variant>
        <vt:i4>131142</vt:i4>
      </vt:variant>
      <vt:variant>
        <vt:i4>3</vt:i4>
      </vt:variant>
      <vt:variant>
        <vt:i4>0</vt:i4>
      </vt:variant>
      <vt:variant>
        <vt:i4>5</vt:i4>
      </vt:variant>
      <vt:variant>
        <vt:lpwstr>http://www.bndes.gov.br/</vt:lpwstr>
      </vt:variant>
      <vt:variant>
        <vt:lpwstr/>
      </vt:variant>
      <vt:variant>
        <vt:i4>131142</vt:i4>
      </vt:variant>
      <vt:variant>
        <vt:i4>0</vt:i4>
      </vt:variant>
      <vt:variant>
        <vt:i4>0</vt:i4>
      </vt:variant>
      <vt:variant>
        <vt:i4>5</vt:i4>
      </vt:variant>
      <vt:variant>
        <vt:lpwstr>http://www.bndes.gov.br/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XII à Circular SUP/AOI nº 09/2014-BNDES, de 02.04.2014</dc:title>
  <dc:subject>Condições TJLP</dc:subject>
  <dc:creator>AOI/DERAI</dc:creator>
  <cp:lastModifiedBy>Fernando Americo Santos Rodrigues</cp:lastModifiedBy>
  <cp:revision>9</cp:revision>
  <cp:lastPrinted>2022-04-06T18:39:00Z</cp:lastPrinted>
  <dcterms:created xsi:type="dcterms:W3CDTF">2024-07-31T17:40:00Z</dcterms:created>
  <dcterms:modified xsi:type="dcterms:W3CDTF">2025-03-13T20:05:00Z</dcterms:modified>
</cp:coreProperties>
</file>