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1DC" w14:textId="77777777" w:rsidR="00964AAA" w:rsidRPr="00964AAA" w:rsidRDefault="00964AAA" w:rsidP="00964AAA">
      <w:pPr>
        <w:spacing w:after="0" w:line="240" w:lineRule="auto"/>
        <w:jc w:val="center"/>
        <w:outlineLvl w:val="2"/>
        <w:rPr>
          <w:rFonts w:ascii="Arial" w:eastAsia="Times New Roman" w:hAnsi="Arial" w:cs="Arial"/>
          <w:b/>
          <w:bCs/>
          <w:kern w:val="0"/>
          <w:sz w:val="24"/>
          <w:szCs w:val="20"/>
          <w:lang w:eastAsia="pt-BR"/>
          <w14:ligatures w14:val="none"/>
        </w:rPr>
      </w:pPr>
      <w:r w:rsidRPr="00964AAA">
        <w:rPr>
          <w:rFonts w:ascii="Arial" w:eastAsia="Times New Roman" w:hAnsi="Arial" w:cs="Arial"/>
          <w:b/>
          <w:bCs/>
          <w:kern w:val="0"/>
          <w:sz w:val="24"/>
          <w:szCs w:val="20"/>
          <w:lang w:eastAsia="pt-BR"/>
          <w14:ligatures w14:val="none"/>
        </w:rPr>
        <w:t>BANCO NACIONAL DE DESENVOLVIMENTO ECONÔMICO E SOCIAL - BNDES</w:t>
      </w:r>
    </w:p>
    <w:p w14:paraId="230279E3"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310AC1B2"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04B5A767"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47E3D6CF" w14:textId="70110FE0" w:rsidR="00964AAA" w:rsidRPr="00964AAA" w:rsidRDefault="00964AAA" w:rsidP="00964AAA">
      <w:pPr>
        <w:spacing w:after="0" w:line="240" w:lineRule="auto"/>
        <w:jc w:val="center"/>
        <w:outlineLvl w:val="2"/>
        <w:rPr>
          <w:rFonts w:ascii="Arial" w:eastAsia="Times New Roman" w:hAnsi="Arial" w:cs="Arial"/>
          <w:b/>
          <w:bCs/>
          <w:kern w:val="0"/>
          <w:sz w:val="24"/>
          <w:szCs w:val="20"/>
          <w:lang w:eastAsia="pt-BR"/>
          <w14:ligatures w14:val="none"/>
        </w:rPr>
      </w:pPr>
      <w:r w:rsidRPr="00964AAA">
        <w:rPr>
          <w:rFonts w:ascii="Arial" w:eastAsia="Times New Roman" w:hAnsi="Arial" w:cs="Arial"/>
          <w:b/>
          <w:bCs/>
          <w:kern w:val="0"/>
          <w:sz w:val="24"/>
          <w:szCs w:val="20"/>
          <w:lang w:eastAsia="pt-BR"/>
          <w14:ligatures w14:val="none"/>
        </w:rPr>
        <w:t xml:space="preserve">CIRCULAR SUP/ADIG Nº </w:t>
      </w:r>
      <w:r w:rsidR="00FB2209">
        <w:rPr>
          <w:rFonts w:ascii="Arial" w:eastAsia="Times New Roman" w:hAnsi="Arial" w:cs="Arial"/>
          <w:b/>
          <w:bCs/>
          <w:kern w:val="0"/>
          <w:sz w:val="24"/>
          <w:szCs w:val="20"/>
          <w:lang w:eastAsia="pt-BR"/>
          <w14:ligatures w14:val="none"/>
        </w:rPr>
        <w:t>84</w:t>
      </w:r>
      <w:r w:rsidRPr="00964AAA">
        <w:rPr>
          <w:rFonts w:ascii="Arial" w:eastAsia="Times New Roman" w:hAnsi="Arial" w:cs="Arial"/>
          <w:b/>
          <w:bCs/>
          <w:kern w:val="0"/>
          <w:sz w:val="24"/>
          <w:szCs w:val="20"/>
          <w:lang w:eastAsia="pt-BR"/>
          <w14:ligatures w14:val="none"/>
        </w:rPr>
        <w:t>/</w:t>
      </w:r>
      <w:r w:rsidR="00305FCA" w:rsidRPr="00964AAA">
        <w:rPr>
          <w:rFonts w:ascii="Arial" w:eastAsia="Times New Roman" w:hAnsi="Arial" w:cs="Arial"/>
          <w:b/>
          <w:bCs/>
          <w:kern w:val="0"/>
          <w:sz w:val="24"/>
          <w:szCs w:val="20"/>
          <w:lang w:eastAsia="pt-BR"/>
          <w14:ligatures w14:val="none"/>
        </w:rPr>
        <w:t>202</w:t>
      </w:r>
      <w:r w:rsidR="008F649B">
        <w:rPr>
          <w:rFonts w:ascii="Arial" w:eastAsia="Times New Roman" w:hAnsi="Arial" w:cs="Arial"/>
          <w:b/>
          <w:bCs/>
          <w:kern w:val="0"/>
          <w:sz w:val="24"/>
          <w:szCs w:val="20"/>
          <w:lang w:eastAsia="pt-BR"/>
          <w14:ligatures w14:val="none"/>
        </w:rPr>
        <w:t>4</w:t>
      </w:r>
      <w:r w:rsidRPr="00964AAA">
        <w:rPr>
          <w:rFonts w:ascii="Arial" w:eastAsia="Times New Roman" w:hAnsi="Arial" w:cs="Arial"/>
          <w:b/>
          <w:bCs/>
          <w:kern w:val="0"/>
          <w:sz w:val="24"/>
          <w:szCs w:val="20"/>
          <w:lang w:eastAsia="pt-BR"/>
          <w14:ligatures w14:val="none"/>
        </w:rPr>
        <w:t xml:space="preserve">-BNDES, DE </w:t>
      </w:r>
      <w:r w:rsidR="00FB2209">
        <w:rPr>
          <w:rFonts w:ascii="Arial" w:eastAsia="Times New Roman" w:hAnsi="Arial" w:cs="Arial"/>
          <w:b/>
          <w:bCs/>
          <w:kern w:val="0"/>
          <w:sz w:val="24"/>
          <w:szCs w:val="20"/>
          <w:lang w:eastAsia="pt-BR"/>
          <w14:ligatures w14:val="none"/>
        </w:rPr>
        <w:t>13</w:t>
      </w:r>
      <w:r w:rsidR="00FB2209" w:rsidRPr="00964AAA">
        <w:rPr>
          <w:rFonts w:ascii="Arial" w:eastAsia="Times New Roman" w:hAnsi="Arial" w:cs="Arial"/>
          <w:b/>
          <w:bCs/>
          <w:kern w:val="0"/>
          <w:sz w:val="24"/>
          <w:szCs w:val="20"/>
          <w:lang w:eastAsia="pt-BR"/>
          <w14:ligatures w14:val="none"/>
        </w:rPr>
        <w:t xml:space="preserve"> </w:t>
      </w:r>
      <w:r w:rsidRPr="00964AAA">
        <w:rPr>
          <w:rFonts w:ascii="Arial" w:eastAsia="Times New Roman" w:hAnsi="Arial" w:cs="Arial"/>
          <w:b/>
          <w:bCs/>
          <w:kern w:val="0"/>
          <w:sz w:val="24"/>
          <w:szCs w:val="20"/>
          <w:lang w:eastAsia="pt-BR"/>
          <w14:ligatures w14:val="none"/>
        </w:rPr>
        <w:t xml:space="preserve">DE </w:t>
      </w:r>
      <w:r w:rsidR="00FB2209">
        <w:rPr>
          <w:rFonts w:ascii="Arial" w:eastAsia="Times New Roman" w:hAnsi="Arial" w:cs="Arial"/>
          <w:b/>
          <w:bCs/>
          <w:kern w:val="0"/>
          <w:sz w:val="24"/>
          <w:szCs w:val="20"/>
          <w:lang w:eastAsia="pt-BR"/>
          <w14:ligatures w14:val="none"/>
        </w:rPr>
        <w:t>SETEMBRO</w:t>
      </w:r>
      <w:r w:rsidR="00FB2209" w:rsidRPr="00964AAA">
        <w:rPr>
          <w:rFonts w:ascii="Arial" w:eastAsia="Times New Roman" w:hAnsi="Arial" w:cs="Arial"/>
          <w:b/>
          <w:bCs/>
          <w:kern w:val="0"/>
          <w:sz w:val="24"/>
          <w:szCs w:val="20"/>
          <w:lang w:eastAsia="pt-BR"/>
          <w14:ligatures w14:val="none"/>
        </w:rPr>
        <w:t xml:space="preserve"> </w:t>
      </w:r>
      <w:r w:rsidRPr="00964AAA">
        <w:rPr>
          <w:rFonts w:ascii="Arial" w:eastAsia="Times New Roman" w:hAnsi="Arial" w:cs="Arial"/>
          <w:b/>
          <w:bCs/>
          <w:kern w:val="0"/>
          <w:sz w:val="24"/>
          <w:szCs w:val="20"/>
          <w:lang w:eastAsia="pt-BR"/>
          <w14:ligatures w14:val="none"/>
        </w:rPr>
        <w:t xml:space="preserve">DE </w:t>
      </w:r>
      <w:r w:rsidR="00305FCA" w:rsidRPr="00964AAA">
        <w:rPr>
          <w:rFonts w:ascii="Arial" w:eastAsia="Times New Roman" w:hAnsi="Arial" w:cs="Arial"/>
          <w:b/>
          <w:bCs/>
          <w:kern w:val="0"/>
          <w:sz w:val="24"/>
          <w:szCs w:val="20"/>
          <w:lang w:eastAsia="pt-BR"/>
          <w14:ligatures w14:val="none"/>
        </w:rPr>
        <w:t>202</w:t>
      </w:r>
      <w:r w:rsidR="008F649B">
        <w:rPr>
          <w:rFonts w:ascii="Arial" w:eastAsia="Times New Roman" w:hAnsi="Arial" w:cs="Arial"/>
          <w:b/>
          <w:bCs/>
          <w:kern w:val="0"/>
          <w:sz w:val="24"/>
          <w:szCs w:val="20"/>
          <w:lang w:eastAsia="pt-BR"/>
          <w14:ligatures w14:val="none"/>
        </w:rPr>
        <w:t>4</w:t>
      </w:r>
      <w:r w:rsidRPr="00964AAA">
        <w:rPr>
          <w:rFonts w:ascii="Arial" w:eastAsia="Times New Roman" w:hAnsi="Arial" w:cs="Arial"/>
          <w:b/>
          <w:bCs/>
          <w:kern w:val="0"/>
          <w:sz w:val="24"/>
          <w:szCs w:val="20"/>
          <w:lang w:eastAsia="pt-BR"/>
          <w14:ligatures w14:val="none"/>
        </w:rPr>
        <w:t>.</w:t>
      </w:r>
    </w:p>
    <w:p w14:paraId="0AB4AC7A"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50497FAA" w14:textId="77777777" w:rsidR="00964AAA" w:rsidRPr="00964AAA" w:rsidRDefault="00964AAA" w:rsidP="00964AAA">
      <w:pPr>
        <w:spacing w:after="0" w:line="240" w:lineRule="auto"/>
        <w:rPr>
          <w:rFonts w:ascii="Arial" w:eastAsia="Times New Roman" w:hAnsi="Arial" w:cs="Arial"/>
          <w:kern w:val="0"/>
          <w:sz w:val="24"/>
          <w:szCs w:val="20"/>
          <w:lang w:eastAsia="pt-BR"/>
          <w14:ligatures w14:val="none"/>
        </w:rPr>
      </w:pPr>
    </w:p>
    <w:p w14:paraId="2EB37134" w14:textId="198BD0AA" w:rsidR="00964AAA" w:rsidRPr="00964AAA" w:rsidRDefault="00964AAA" w:rsidP="00964AAA">
      <w:pPr>
        <w:spacing w:after="0" w:line="240" w:lineRule="auto"/>
        <w:ind w:left="5670"/>
        <w:jc w:val="both"/>
        <w:rPr>
          <w:rFonts w:ascii="Arial" w:eastAsia="Times New Roman" w:hAnsi="Arial" w:cs="Arial"/>
          <w:iCs/>
          <w:kern w:val="0"/>
          <w:sz w:val="24"/>
          <w:szCs w:val="20"/>
          <w:lang w:eastAsia="pt-BR"/>
          <w14:ligatures w14:val="none"/>
        </w:rPr>
      </w:pPr>
      <w:r w:rsidRPr="00964AAA">
        <w:rPr>
          <w:rFonts w:ascii="Arial" w:eastAsia="Times New Roman" w:hAnsi="Arial" w:cs="Arial"/>
          <w:kern w:val="0"/>
          <w:sz w:val="24"/>
          <w:szCs w:val="20"/>
          <w:lang w:eastAsia="pt-BR"/>
          <w14:ligatures w14:val="none"/>
        </w:rPr>
        <w:t xml:space="preserve">Orientações Básicas e Procedimentos Operacionais aplicáveis aos Produtos e Programas que utilizam o Sistema BNDES </w:t>
      </w:r>
      <w:r w:rsidR="00305FCA">
        <w:rPr>
          <w:rFonts w:ascii="Arial" w:eastAsia="Times New Roman" w:hAnsi="Arial" w:cs="Arial"/>
          <w:kern w:val="0"/>
          <w:sz w:val="24"/>
          <w:szCs w:val="20"/>
          <w:lang w:eastAsia="pt-BR"/>
          <w14:ligatures w14:val="none"/>
        </w:rPr>
        <w:t>Digital (BCD)</w:t>
      </w:r>
      <w:r w:rsidRPr="00964AAA">
        <w:rPr>
          <w:rFonts w:ascii="Arial" w:eastAsia="Times New Roman" w:hAnsi="Arial" w:cs="Arial"/>
          <w:kern w:val="0"/>
          <w:sz w:val="24"/>
          <w:szCs w:val="20"/>
          <w:lang w:eastAsia="pt-BR"/>
          <w14:ligatures w14:val="none"/>
        </w:rPr>
        <w:t>.</w:t>
      </w:r>
    </w:p>
    <w:p w14:paraId="350AA691" w14:textId="77777777" w:rsidR="00964AAA" w:rsidRPr="00964AAA" w:rsidRDefault="00964AAA" w:rsidP="00964AAA">
      <w:pPr>
        <w:spacing w:after="0" w:line="240" w:lineRule="auto"/>
        <w:jc w:val="both"/>
        <w:rPr>
          <w:rFonts w:ascii="Arial" w:eastAsia="Times New Roman" w:hAnsi="Arial" w:cs="Arial"/>
          <w:kern w:val="0"/>
          <w:sz w:val="24"/>
          <w:szCs w:val="20"/>
          <w:lang w:eastAsia="pt-BR"/>
          <w14:ligatures w14:val="none"/>
        </w:rPr>
      </w:pPr>
    </w:p>
    <w:p w14:paraId="74A4D7DF" w14:textId="77777777" w:rsidR="00964AAA" w:rsidRPr="00964AAA" w:rsidRDefault="00964AAA" w:rsidP="00964AAA">
      <w:pPr>
        <w:spacing w:after="0" w:line="240" w:lineRule="auto"/>
        <w:jc w:val="both"/>
        <w:rPr>
          <w:rFonts w:ascii="Arial" w:eastAsia="Times New Roman" w:hAnsi="Arial" w:cs="Arial"/>
          <w:kern w:val="0"/>
          <w:sz w:val="24"/>
          <w:szCs w:val="20"/>
          <w:lang w:eastAsia="pt-BR"/>
          <w14:ligatures w14:val="none"/>
        </w:rPr>
      </w:pPr>
    </w:p>
    <w:p w14:paraId="72FA85FD" w14:textId="0419DE03" w:rsidR="00964AAA" w:rsidRPr="00964AAA" w:rsidRDefault="00964AAA" w:rsidP="00964AAA">
      <w:pPr>
        <w:spacing w:before="120" w:after="120" w:line="240" w:lineRule="auto"/>
        <w:ind w:right="-11"/>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O Superintendente da Área de Operações e Canais Digitais, tendo em vista o disposto nas Políticas Operacionais do Sistema BNDES, consoante Resoluções da Diretoria Executiva</w:t>
      </w:r>
      <w:r w:rsidRPr="00964AAA">
        <w:rPr>
          <w:rFonts w:ascii="Arial" w:eastAsia="Times New Roman" w:hAnsi="Arial" w:cs="Times New Roman"/>
          <w:kern w:val="0"/>
          <w:sz w:val="24"/>
          <w:szCs w:val="20"/>
          <w:lang w:eastAsia="pt-BR"/>
          <w14:ligatures w14:val="none"/>
        </w:rPr>
        <w:t xml:space="preserve"> e no uso de suas atribuições</w:t>
      </w:r>
      <w:r w:rsidRPr="00964AAA">
        <w:rPr>
          <w:rFonts w:ascii="Arial" w:eastAsia="Times New Roman" w:hAnsi="Arial" w:cs="Arial"/>
          <w:kern w:val="0"/>
          <w:sz w:val="24"/>
          <w:szCs w:val="20"/>
          <w:lang w:eastAsia="pt-BR"/>
          <w14:ligatures w14:val="none"/>
        </w:rPr>
        <w:t xml:space="preserve">, COMUNICA </w:t>
      </w:r>
      <w:r w:rsidR="007D0933">
        <w:rPr>
          <w:rFonts w:ascii="Arial" w:eastAsia="Times New Roman" w:hAnsi="Arial" w:cs="Arial"/>
          <w:kern w:val="0"/>
          <w:sz w:val="24"/>
          <w:szCs w:val="20"/>
          <w:lang w:eastAsia="pt-BR"/>
          <w14:ligatures w14:val="none"/>
        </w:rPr>
        <w:t>aos</w:t>
      </w:r>
      <w:r w:rsidRPr="00964AAA">
        <w:rPr>
          <w:rFonts w:ascii="Arial" w:eastAsia="Times New Roman" w:hAnsi="Arial" w:cs="Arial"/>
          <w:kern w:val="0"/>
          <w:sz w:val="24"/>
          <w:szCs w:val="20"/>
          <w:lang w:eastAsia="pt-BR"/>
          <w14:ligatures w14:val="none"/>
        </w:rPr>
        <w:t xml:space="preserve"> </w:t>
      </w:r>
      <w:r w:rsidR="007D0933">
        <w:rPr>
          <w:rFonts w:ascii="Arial" w:eastAsia="Times New Roman" w:hAnsi="Arial" w:cs="Arial"/>
          <w:kern w:val="0"/>
          <w:sz w:val="24"/>
          <w:szCs w:val="20"/>
          <w:lang w:eastAsia="pt-BR"/>
          <w14:ligatures w14:val="none"/>
        </w:rPr>
        <w:t xml:space="preserve">AGENTES </w:t>
      </w:r>
      <w:r w:rsidRPr="00964AAA">
        <w:rPr>
          <w:rFonts w:ascii="Arial" w:eastAsia="Times New Roman" w:hAnsi="Arial" w:cs="Arial"/>
          <w:kern w:val="0"/>
          <w:sz w:val="24"/>
          <w:szCs w:val="20"/>
          <w:lang w:eastAsia="pt-BR"/>
          <w14:ligatures w14:val="none"/>
        </w:rPr>
        <w:t>FINANCEIR</w:t>
      </w:r>
      <w:r w:rsidR="007D0933">
        <w:rPr>
          <w:rFonts w:ascii="Arial" w:eastAsia="Times New Roman" w:hAnsi="Arial" w:cs="Arial"/>
          <w:kern w:val="0"/>
          <w:sz w:val="24"/>
          <w:szCs w:val="20"/>
          <w:lang w:eastAsia="pt-BR"/>
          <w14:ligatures w14:val="none"/>
        </w:rPr>
        <w:t>O</w:t>
      </w:r>
      <w:r w:rsidRPr="00964AAA">
        <w:rPr>
          <w:rFonts w:ascii="Arial" w:eastAsia="Times New Roman" w:hAnsi="Arial" w:cs="Arial"/>
          <w:kern w:val="0"/>
          <w:sz w:val="24"/>
          <w:szCs w:val="20"/>
          <w:lang w:eastAsia="pt-BR"/>
          <w14:ligatures w14:val="none"/>
        </w:rPr>
        <w:t>S CREDENCIAD</w:t>
      </w:r>
      <w:r w:rsidR="007D0933">
        <w:rPr>
          <w:rFonts w:ascii="Arial" w:eastAsia="Times New Roman" w:hAnsi="Arial" w:cs="Arial"/>
          <w:kern w:val="0"/>
          <w:sz w:val="24"/>
          <w:szCs w:val="20"/>
          <w:lang w:eastAsia="pt-BR"/>
          <w14:ligatures w14:val="none"/>
        </w:rPr>
        <w:t>O</w:t>
      </w:r>
      <w:r w:rsidRPr="00964AAA">
        <w:rPr>
          <w:rFonts w:ascii="Arial" w:eastAsia="Times New Roman" w:hAnsi="Arial" w:cs="Arial"/>
          <w:kern w:val="0"/>
          <w:sz w:val="24"/>
          <w:szCs w:val="20"/>
          <w:lang w:eastAsia="pt-BR"/>
          <w14:ligatures w14:val="none"/>
        </w:rPr>
        <w:t xml:space="preserve">S os critérios, condições e procedimentos operacionais a serem observados no âmbito dos Produtos e Programas cujas operações sejam encaminhadas por meio do </w:t>
      </w:r>
      <w:r w:rsidRPr="00E85D0B">
        <w:rPr>
          <w:rFonts w:ascii="Arial" w:eastAsia="Times New Roman" w:hAnsi="Arial" w:cs="Arial"/>
          <w:b/>
          <w:bCs/>
          <w:kern w:val="0"/>
          <w:sz w:val="24"/>
          <w:szCs w:val="20"/>
          <w:lang w:eastAsia="pt-BR"/>
          <w14:ligatures w14:val="none"/>
        </w:rPr>
        <w:t xml:space="preserve">Sistema </w:t>
      </w:r>
      <w:r w:rsidR="00305FCA" w:rsidRPr="00E85D0B">
        <w:rPr>
          <w:rFonts w:ascii="Arial" w:eastAsia="Times New Roman" w:hAnsi="Arial" w:cs="Arial"/>
          <w:b/>
          <w:bCs/>
          <w:kern w:val="0"/>
          <w:sz w:val="24"/>
          <w:szCs w:val="20"/>
          <w:lang w:eastAsia="pt-BR"/>
          <w14:ligatures w14:val="none"/>
        </w:rPr>
        <w:t>BNDES Digital (BCD)</w:t>
      </w:r>
      <w:r w:rsidRPr="00964AAA">
        <w:rPr>
          <w:rFonts w:ascii="Arial" w:eastAsia="Times New Roman" w:hAnsi="Arial" w:cs="Arial"/>
          <w:kern w:val="0"/>
          <w:sz w:val="24"/>
          <w:szCs w:val="20"/>
          <w:lang w:eastAsia="pt-BR"/>
          <w14:ligatures w14:val="none"/>
        </w:rPr>
        <w:t>, conforme estabelecido a seguir.</w:t>
      </w:r>
    </w:p>
    <w:p w14:paraId="0FF31E0B"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OBJETIVO</w:t>
      </w:r>
    </w:p>
    <w:p w14:paraId="7CD44B75" w14:textId="3D01C750" w:rsidR="00964AAA" w:rsidRPr="00964AAA" w:rsidRDefault="00964AAA" w:rsidP="00964AAA">
      <w:pPr>
        <w:spacing w:before="120" w:after="120" w:line="240" w:lineRule="auto"/>
        <w:ind w:left="567"/>
        <w:jc w:val="both"/>
        <w:rPr>
          <w:rFonts w:ascii="Arial" w:eastAsia="Times New Roman" w:hAnsi="Arial" w:cs="Times New Roman"/>
          <w:kern w:val="0"/>
          <w:sz w:val="24"/>
          <w:szCs w:val="20"/>
          <w:lang w:eastAsia="pt-BR"/>
          <w14:ligatures w14:val="none"/>
        </w:rPr>
      </w:pPr>
      <w:r w:rsidRPr="00964AAA">
        <w:rPr>
          <w:rFonts w:ascii="Arial" w:eastAsia="Times New Roman" w:hAnsi="Arial" w:cs="Times New Roman"/>
          <w:kern w:val="0"/>
          <w:sz w:val="24"/>
          <w:szCs w:val="20"/>
          <w:lang w:eastAsia="pt-BR"/>
          <w14:ligatures w14:val="none"/>
        </w:rPr>
        <w:t>Estabelecer as orientações básicas, cláusulas, condições, procedimentos operacionais e demais diretrizes gerais a serem cumpridas pel</w:t>
      </w:r>
      <w:r w:rsidR="004906A9">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s </w:t>
      </w:r>
      <w:r w:rsidR="004906A9">
        <w:rPr>
          <w:rFonts w:ascii="Arial" w:eastAsia="Times New Roman" w:hAnsi="Arial" w:cs="Times New Roman"/>
          <w:kern w:val="0"/>
          <w:sz w:val="24"/>
          <w:szCs w:val="20"/>
          <w:lang w:eastAsia="pt-BR"/>
          <w14:ligatures w14:val="none"/>
        </w:rPr>
        <w:t>AGENTES</w:t>
      </w:r>
      <w:r w:rsidR="004906A9"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FINANCEIR</w:t>
      </w:r>
      <w:r w:rsidR="004906A9">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S CREDENCIAD</w:t>
      </w:r>
      <w:r w:rsidR="004906A9">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S, nas operações de crédito protocoladas por meio do Sistema </w:t>
      </w:r>
      <w:r w:rsidR="00305FCA">
        <w:rPr>
          <w:rFonts w:ascii="Arial" w:eastAsia="Times New Roman" w:hAnsi="Arial" w:cs="Times New Roman"/>
          <w:kern w:val="0"/>
          <w:sz w:val="24"/>
          <w:szCs w:val="20"/>
          <w:lang w:eastAsia="pt-BR"/>
          <w14:ligatures w14:val="none"/>
        </w:rPr>
        <w:t>BNDES Digital (BCD)</w:t>
      </w:r>
      <w:r w:rsidRPr="00964AAA">
        <w:rPr>
          <w:rFonts w:ascii="Arial" w:eastAsia="Times New Roman" w:hAnsi="Arial" w:cs="Times New Roman"/>
          <w:kern w:val="0"/>
          <w:sz w:val="24"/>
          <w:szCs w:val="20"/>
          <w:lang w:eastAsia="pt-BR"/>
          <w14:ligatures w14:val="none"/>
        </w:rPr>
        <w:t>, aplicáveis de forma complementar ao que consta nas Circulares dos Produtos e Programas.</w:t>
      </w:r>
    </w:p>
    <w:p w14:paraId="775FC1EF"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PORTE DOS CLIENTES FINAIS</w:t>
      </w:r>
    </w:p>
    <w:p w14:paraId="1FE5C1D7" w14:textId="51B6188B" w:rsidR="00DE7D39" w:rsidRDefault="00DE7D39" w:rsidP="00DE7D39">
      <w:pPr>
        <w:pStyle w:val="BNDES"/>
        <w:numPr>
          <w:ilvl w:val="1"/>
          <w:numId w:val="2"/>
        </w:numPr>
        <w:tabs>
          <w:tab w:val="left" w:pos="1134"/>
        </w:tabs>
        <w:spacing w:before="120" w:after="120"/>
        <w:ind w:left="1134" w:hanging="567"/>
        <w:rPr>
          <w:bCs/>
        </w:rPr>
      </w:pPr>
      <w:r>
        <w:rPr>
          <w:bCs/>
        </w:rPr>
        <w:t>Para fins de enquadramento da operação nos Produtos</w:t>
      </w:r>
      <w:r w:rsidR="001F19ED">
        <w:rPr>
          <w:bCs/>
        </w:rPr>
        <w:t xml:space="preserve"> e</w:t>
      </w:r>
      <w:r>
        <w:rPr>
          <w:bCs/>
        </w:rPr>
        <w:t xml:space="preserve"> Programas, o</w:t>
      </w:r>
      <w:r w:rsidRPr="001A2516">
        <w:rPr>
          <w:bCs/>
        </w:rPr>
        <w:t xml:space="preserve">s </w:t>
      </w:r>
      <w:r>
        <w:rPr>
          <w:bCs/>
        </w:rPr>
        <w:t>Clientes</w:t>
      </w:r>
      <w:r w:rsidR="001F19ED">
        <w:rPr>
          <w:bCs/>
        </w:rPr>
        <w:t xml:space="preserve"> Finais</w:t>
      </w:r>
      <w:r>
        <w:rPr>
          <w:bCs/>
        </w:rPr>
        <w:t xml:space="preserve"> </w:t>
      </w:r>
      <w:r w:rsidRPr="001A2516">
        <w:rPr>
          <w:bCs/>
        </w:rPr>
        <w:t>serão classificad</w:t>
      </w:r>
      <w:r>
        <w:rPr>
          <w:bCs/>
        </w:rPr>
        <w:t>o</w:t>
      </w:r>
      <w:r w:rsidRPr="001A2516">
        <w:rPr>
          <w:bCs/>
        </w:rPr>
        <w:t>s</w:t>
      </w:r>
      <w:r w:rsidRPr="001A2516">
        <w:t xml:space="preserve"> </w:t>
      </w:r>
      <w:r w:rsidRPr="001A2516">
        <w:rPr>
          <w:bCs/>
        </w:rPr>
        <w:t>em função de seu porte nas categorias a seguir</w:t>
      </w:r>
      <w:r w:rsidR="009E1712">
        <w:rPr>
          <w:bCs/>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4923"/>
      </w:tblGrid>
      <w:tr w:rsidR="00DE7D39" w:rsidRPr="00D624F7" w14:paraId="3FFEC05A" w14:textId="77777777" w:rsidTr="00E85D0B">
        <w:tc>
          <w:tcPr>
            <w:tcW w:w="3463" w:type="dxa"/>
            <w:shd w:val="clear" w:color="auto" w:fill="D9D9D9"/>
          </w:tcPr>
          <w:p w14:paraId="4C4A13E5" w14:textId="77777777" w:rsidR="00DE7D39" w:rsidRPr="004C5C2F" w:rsidRDefault="00DE7D39" w:rsidP="00AF2216">
            <w:pPr>
              <w:pStyle w:val="BNDES"/>
              <w:tabs>
                <w:tab w:val="left" w:pos="993"/>
              </w:tabs>
              <w:spacing w:before="120" w:after="120"/>
              <w:jc w:val="center"/>
              <w:rPr>
                <w:b/>
                <w:bCs/>
              </w:rPr>
            </w:pPr>
            <w:r w:rsidRPr="004C5C2F">
              <w:rPr>
                <w:b/>
                <w:bCs/>
              </w:rPr>
              <w:t>Porte</w:t>
            </w:r>
          </w:p>
        </w:tc>
        <w:tc>
          <w:tcPr>
            <w:tcW w:w="4923" w:type="dxa"/>
            <w:shd w:val="clear" w:color="auto" w:fill="D9D9D9"/>
          </w:tcPr>
          <w:p w14:paraId="50EA1A46" w14:textId="4AF69DE9" w:rsidR="00DE7D39" w:rsidRPr="004C5C2F" w:rsidRDefault="009E1712" w:rsidP="00AF2216">
            <w:pPr>
              <w:pStyle w:val="BNDES"/>
              <w:tabs>
                <w:tab w:val="left" w:pos="993"/>
              </w:tabs>
              <w:spacing w:before="120" w:after="120"/>
              <w:jc w:val="center"/>
              <w:rPr>
                <w:b/>
                <w:bCs/>
              </w:rPr>
            </w:pPr>
            <w:r>
              <w:rPr>
                <w:b/>
                <w:bCs/>
              </w:rPr>
              <w:t>Cartão CNPJ</w:t>
            </w:r>
          </w:p>
        </w:tc>
      </w:tr>
      <w:tr w:rsidR="00DE7D39" w:rsidRPr="00D624F7" w14:paraId="6F6C29B1" w14:textId="77777777" w:rsidTr="00E85D0B">
        <w:tc>
          <w:tcPr>
            <w:tcW w:w="3463" w:type="dxa"/>
            <w:shd w:val="clear" w:color="auto" w:fill="FFFFFF" w:themeFill="background1"/>
            <w:vAlign w:val="center"/>
          </w:tcPr>
          <w:p w14:paraId="56482C0A" w14:textId="3CF5D992" w:rsidR="00DE7D39" w:rsidRPr="004C5C2F" w:rsidRDefault="00DE7D39" w:rsidP="00DE7D39">
            <w:pPr>
              <w:pStyle w:val="BNDES"/>
              <w:tabs>
                <w:tab w:val="left" w:pos="993"/>
              </w:tabs>
              <w:spacing w:before="120" w:after="120"/>
              <w:jc w:val="center"/>
              <w:rPr>
                <w:b/>
                <w:bCs/>
              </w:rPr>
            </w:pPr>
            <w:r w:rsidRPr="00D624F7">
              <w:rPr>
                <w:bCs/>
              </w:rPr>
              <w:t>Microempresa</w:t>
            </w:r>
          </w:p>
        </w:tc>
        <w:tc>
          <w:tcPr>
            <w:tcW w:w="4923" w:type="dxa"/>
            <w:shd w:val="clear" w:color="auto" w:fill="FFFFFF" w:themeFill="background1"/>
          </w:tcPr>
          <w:p w14:paraId="414A6D0D" w14:textId="77777777" w:rsidR="00DE7D39" w:rsidRDefault="009E1712" w:rsidP="00DE7D39">
            <w:pPr>
              <w:pStyle w:val="BNDES"/>
              <w:tabs>
                <w:tab w:val="left" w:pos="993"/>
              </w:tabs>
              <w:spacing w:before="120" w:after="120"/>
              <w:jc w:val="center"/>
            </w:pPr>
            <w:r w:rsidRPr="00593807">
              <w:t>Microempresa (ME)</w:t>
            </w:r>
          </w:p>
          <w:p w14:paraId="29CE6E5A" w14:textId="7D8558B4" w:rsidR="009E1712" w:rsidRPr="004C5C2F" w:rsidRDefault="009E1712" w:rsidP="00DE7D39">
            <w:pPr>
              <w:pStyle w:val="BNDES"/>
              <w:tabs>
                <w:tab w:val="left" w:pos="993"/>
              </w:tabs>
              <w:spacing w:before="120" w:after="120"/>
              <w:jc w:val="center"/>
              <w:rPr>
                <w:b/>
                <w:bCs/>
              </w:rPr>
            </w:pPr>
            <w:r>
              <w:t>M</w:t>
            </w:r>
            <w:r w:rsidRPr="00593807">
              <w:t xml:space="preserve">icroempreendedor </w:t>
            </w:r>
            <w:r>
              <w:t>I</w:t>
            </w:r>
            <w:r w:rsidRPr="00593807">
              <w:t>ndividua</w:t>
            </w:r>
            <w:r>
              <w:t>l (MEI)</w:t>
            </w:r>
          </w:p>
        </w:tc>
      </w:tr>
      <w:tr w:rsidR="00DE7D39" w:rsidRPr="00D624F7" w14:paraId="5E2FA68F" w14:textId="77777777" w:rsidTr="00E85D0B">
        <w:tc>
          <w:tcPr>
            <w:tcW w:w="3463" w:type="dxa"/>
            <w:shd w:val="clear" w:color="auto" w:fill="FFFFFF" w:themeFill="background1"/>
            <w:vAlign w:val="center"/>
          </w:tcPr>
          <w:p w14:paraId="1A90549A" w14:textId="62E6C4F2" w:rsidR="00DE7D39" w:rsidRPr="004C5C2F" w:rsidRDefault="00DE7D39" w:rsidP="00DE7D39">
            <w:pPr>
              <w:pStyle w:val="BNDES"/>
              <w:tabs>
                <w:tab w:val="left" w:pos="993"/>
              </w:tabs>
              <w:spacing w:before="120" w:after="120"/>
              <w:jc w:val="center"/>
              <w:rPr>
                <w:b/>
                <w:bCs/>
              </w:rPr>
            </w:pPr>
            <w:r w:rsidRPr="00D624F7">
              <w:rPr>
                <w:bCs/>
              </w:rPr>
              <w:t>Pequena Empresa</w:t>
            </w:r>
          </w:p>
        </w:tc>
        <w:tc>
          <w:tcPr>
            <w:tcW w:w="4923" w:type="dxa"/>
            <w:shd w:val="clear" w:color="auto" w:fill="FFFFFF" w:themeFill="background1"/>
          </w:tcPr>
          <w:p w14:paraId="2E0A5A1C" w14:textId="4A762A0C" w:rsidR="00DE7D39" w:rsidRPr="004C5C2F" w:rsidRDefault="009E1712" w:rsidP="00DE7D39">
            <w:pPr>
              <w:pStyle w:val="BNDES"/>
              <w:tabs>
                <w:tab w:val="left" w:pos="993"/>
              </w:tabs>
              <w:spacing w:before="120" w:after="120"/>
              <w:jc w:val="center"/>
              <w:rPr>
                <w:b/>
                <w:bCs/>
              </w:rPr>
            </w:pPr>
            <w:r w:rsidRPr="00593807">
              <w:t>Empresa de Pequeno Porte (EPP)</w:t>
            </w:r>
          </w:p>
        </w:tc>
      </w:tr>
    </w:tbl>
    <w:p w14:paraId="67A01418" w14:textId="30C06CB9" w:rsidR="00DE7D39" w:rsidRPr="009D269F" w:rsidRDefault="00DE7D39" w:rsidP="00DE7D39">
      <w:pPr>
        <w:pStyle w:val="BNDES"/>
        <w:numPr>
          <w:ilvl w:val="1"/>
          <w:numId w:val="2"/>
        </w:numPr>
        <w:spacing w:before="120" w:after="120"/>
        <w:ind w:left="1134" w:hanging="567"/>
        <w:rPr>
          <w:bCs/>
        </w:rPr>
      </w:pPr>
      <w:r w:rsidRPr="00593807">
        <w:t xml:space="preserve">A </w:t>
      </w:r>
      <w:r w:rsidR="00500D41">
        <w:t>definição</w:t>
      </w:r>
      <w:r w:rsidR="00500D41" w:rsidRPr="00593807">
        <w:t xml:space="preserve"> </w:t>
      </w:r>
      <w:r w:rsidRPr="00593807">
        <w:t xml:space="preserve">do porte considerará as informações do cartão CNPJ </w:t>
      </w:r>
      <w:r w:rsidR="00DD238C">
        <w:t xml:space="preserve">emitido pela </w:t>
      </w:r>
      <w:r w:rsidR="00DD238C" w:rsidRPr="00676825">
        <w:rPr>
          <w:rFonts w:cs="Arial"/>
          <w:szCs w:val="24"/>
        </w:rPr>
        <w:t xml:space="preserve">Receita Federal do Brasil </w:t>
      </w:r>
      <w:r w:rsidRPr="00593807">
        <w:t xml:space="preserve">para a classificação nas categorias de Microempresa (ME) e Empresa de Pequeno Porte (EPP). Os </w:t>
      </w:r>
      <w:r w:rsidR="009E1712">
        <w:t>M</w:t>
      </w:r>
      <w:r w:rsidRPr="00593807">
        <w:t xml:space="preserve">icroempreendedores </w:t>
      </w:r>
      <w:r w:rsidR="009E1712">
        <w:t>I</w:t>
      </w:r>
      <w:r w:rsidRPr="00593807">
        <w:t>ndividuais</w:t>
      </w:r>
      <w:r w:rsidR="009E1712">
        <w:t xml:space="preserve"> (</w:t>
      </w:r>
      <w:proofErr w:type="spellStart"/>
      <w:r w:rsidR="009E1712">
        <w:t>MEIs</w:t>
      </w:r>
      <w:proofErr w:type="spellEnd"/>
      <w:r w:rsidR="009E1712">
        <w:t>)</w:t>
      </w:r>
      <w:r w:rsidRPr="00593807">
        <w:t xml:space="preserve"> </w:t>
      </w:r>
      <w:r w:rsidR="009E1712">
        <w:t>serão</w:t>
      </w:r>
      <w:r w:rsidRPr="00593807">
        <w:t xml:space="preserve"> classificados</w:t>
      </w:r>
      <w:r w:rsidR="00175A91">
        <w:t>, por porte,</w:t>
      </w:r>
      <w:r w:rsidR="009E1712">
        <w:t xml:space="preserve"> </w:t>
      </w:r>
      <w:r w:rsidR="00175A91">
        <w:t>como</w:t>
      </w:r>
      <w:r w:rsidR="009E1712">
        <w:t xml:space="preserve"> </w:t>
      </w:r>
      <w:r w:rsidRPr="00593807">
        <w:t>Microempresa</w:t>
      </w:r>
      <w:r w:rsidR="009E1712">
        <w:t>.</w:t>
      </w:r>
    </w:p>
    <w:p w14:paraId="7D97473C" w14:textId="77777777" w:rsidR="009F0305" w:rsidRPr="009F0305" w:rsidRDefault="009D269F" w:rsidP="00DE7D39">
      <w:pPr>
        <w:pStyle w:val="BNDES"/>
        <w:numPr>
          <w:ilvl w:val="1"/>
          <w:numId w:val="2"/>
        </w:numPr>
        <w:spacing w:before="120" w:after="120"/>
        <w:ind w:left="1134" w:hanging="567"/>
        <w:rPr>
          <w:bCs/>
        </w:rPr>
      </w:pPr>
      <w:bookmarkStart w:id="0" w:name="_Hlk172802050"/>
      <w:r w:rsidRPr="00676825">
        <w:rPr>
          <w:rFonts w:cs="Arial"/>
          <w:szCs w:val="24"/>
        </w:rPr>
        <w:t>Caberá ao BNDES a verificação</w:t>
      </w:r>
      <w:r w:rsidR="009F0305">
        <w:rPr>
          <w:rFonts w:cs="Arial"/>
          <w:szCs w:val="24"/>
        </w:rPr>
        <w:t>:</w:t>
      </w:r>
    </w:p>
    <w:p w14:paraId="33C16F40" w14:textId="08481923" w:rsidR="009D269F" w:rsidRPr="009F0305" w:rsidRDefault="009D269F" w:rsidP="009F0305">
      <w:pPr>
        <w:pStyle w:val="BNDES"/>
        <w:numPr>
          <w:ilvl w:val="3"/>
          <w:numId w:val="2"/>
        </w:numPr>
        <w:tabs>
          <w:tab w:val="clear" w:pos="2924"/>
          <w:tab w:val="num" w:pos="1560"/>
        </w:tabs>
        <w:spacing w:before="120" w:after="120"/>
        <w:ind w:left="1560" w:hanging="426"/>
        <w:rPr>
          <w:bCs/>
        </w:rPr>
      </w:pPr>
      <w:r w:rsidRPr="00676825">
        <w:rPr>
          <w:rFonts w:cs="Arial"/>
          <w:szCs w:val="24"/>
        </w:rPr>
        <w:t xml:space="preserve">do enquadramento do Cliente </w:t>
      </w:r>
      <w:r w:rsidR="001A12F9">
        <w:rPr>
          <w:rFonts w:cs="Arial"/>
          <w:szCs w:val="24"/>
        </w:rPr>
        <w:t xml:space="preserve">Final </w:t>
      </w:r>
      <w:r w:rsidRPr="00676825">
        <w:rPr>
          <w:rFonts w:cs="Arial"/>
          <w:szCs w:val="24"/>
        </w:rPr>
        <w:t>por porte junto à Receita Federal do Brasil na data de contratação da operação de crédito</w:t>
      </w:r>
      <w:bookmarkEnd w:id="0"/>
      <w:r>
        <w:rPr>
          <w:rFonts w:cs="Arial"/>
          <w:szCs w:val="24"/>
        </w:rPr>
        <w:t>.</w:t>
      </w:r>
    </w:p>
    <w:p w14:paraId="4C2B2A7A" w14:textId="53086121" w:rsidR="009F0305" w:rsidRPr="009D269F" w:rsidRDefault="009F0305" w:rsidP="00517536">
      <w:pPr>
        <w:pStyle w:val="BNDES"/>
        <w:numPr>
          <w:ilvl w:val="3"/>
          <w:numId w:val="2"/>
        </w:numPr>
        <w:tabs>
          <w:tab w:val="clear" w:pos="2924"/>
          <w:tab w:val="num" w:pos="1560"/>
        </w:tabs>
        <w:spacing w:before="120" w:after="120"/>
        <w:ind w:left="1560" w:hanging="426"/>
        <w:rPr>
          <w:bCs/>
        </w:rPr>
      </w:pPr>
      <w:r>
        <w:rPr>
          <w:rFonts w:cs="Arial"/>
          <w:szCs w:val="24"/>
        </w:rPr>
        <w:lastRenderedPageBreak/>
        <w:t>d</w:t>
      </w:r>
      <w:r w:rsidRPr="002D067F">
        <w:rPr>
          <w:rFonts w:cs="Arial"/>
          <w:szCs w:val="24"/>
        </w:rPr>
        <w:t xml:space="preserve">a regularidade do </w:t>
      </w:r>
      <w:r>
        <w:rPr>
          <w:rFonts w:cs="Arial"/>
          <w:szCs w:val="24"/>
        </w:rPr>
        <w:t xml:space="preserve">Porte do </w:t>
      </w:r>
      <w:r w:rsidRPr="002D067F">
        <w:rPr>
          <w:rFonts w:cs="Arial"/>
          <w:szCs w:val="24"/>
        </w:rPr>
        <w:t>Cliente</w:t>
      </w:r>
      <w:r>
        <w:rPr>
          <w:rFonts w:cs="Arial"/>
          <w:szCs w:val="24"/>
        </w:rPr>
        <w:t xml:space="preserve"> Final,</w:t>
      </w:r>
      <w:r w:rsidRPr="002D067F">
        <w:rPr>
          <w:rFonts w:cs="Arial"/>
          <w:szCs w:val="24"/>
        </w:rPr>
        <w:t xml:space="preserve"> cuja validade será aplicada a todas as operações </w:t>
      </w:r>
      <w:r>
        <w:rPr>
          <w:rFonts w:cs="Arial"/>
          <w:szCs w:val="24"/>
        </w:rPr>
        <w:t xml:space="preserve">de crédito </w:t>
      </w:r>
      <w:r w:rsidRPr="002D067F">
        <w:rPr>
          <w:rFonts w:cs="Arial"/>
          <w:szCs w:val="24"/>
        </w:rPr>
        <w:t>contratadas no dia</w:t>
      </w:r>
    </w:p>
    <w:p w14:paraId="697BFB3E"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ATIVIDADES NÃO APOIÁVEIS</w:t>
      </w:r>
    </w:p>
    <w:p w14:paraId="54626A70" w14:textId="25EDF4D1" w:rsidR="00964AAA" w:rsidRPr="00964AAA" w:rsidRDefault="00964AAA" w:rsidP="00964AAA">
      <w:pPr>
        <w:numPr>
          <w:ilvl w:val="1"/>
          <w:numId w:val="2"/>
        </w:numPr>
        <w:tabs>
          <w:tab w:val="left" w:pos="1134"/>
        </w:tabs>
        <w:spacing w:before="120" w:after="120" w:line="240" w:lineRule="auto"/>
        <w:ind w:left="1134" w:hanging="567"/>
        <w:jc w:val="both"/>
        <w:rPr>
          <w:rFonts w:ascii="Arial" w:eastAsia="Times New Roman" w:hAnsi="Arial" w:cs="Times New Roman"/>
          <w:kern w:val="0"/>
          <w:sz w:val="24"/>
          <w:szCs w:val="20"/>
          <w:lang w:eastAsia="pt-BR"/>
          <w14:ligatures w14:val="none"/>
        </w:rPr>
      </w:pPr>
      <w:r w:rsidRPr="00964AAA">
        <w:rPr>
          <w:rFonts w:ascii="Arial" w:eastAsia="Times New Roman" w:hAnsi="Arial" w:cs="Times New Roman"/>
          <w:kern w:val="0"/>
          <w:sz w:val="24"/>
          <w:szCs w:val="20"/>
          <w:lang w:eastAsia="pt-BR"/>
          <w14:ligatures w14:val="none"/>
        </w:rPr>
        <w:t>Não serão passíveis de apoio pelo BNDES investimentos ou gastos de qualquer natureza que se destinem às seguintes atividades econômicas:</w:t>
      </w:r>
    </w:p>
    <w:p w14:paraId="5E9A40A0"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Comércio varejista de armas e munições (CNAE 4789-0/09).</w:t>
      </w:r>
    </w:p>
    <w:p w14:paraId="5EAE1037"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Motéis (CNAE 5510-8/03).</w:t>
      </w:r>
    </w:p>
    <w:p w14:paraId="56B102DE"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Saunas e termas (CNAE 9609-2/05).</w:t>
      </w:r>
    </w:p>
    <w:p w14:paraId="5FC7E646"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Exploração de jogos de azar e apostas (CNAE 92).</w:t>
      </w:r>
    </w:p>
    <w:p w14:paraId="12D9ED4A"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Bancos, caixas econômicas e agências de fomento (CNAE 6410-7/00, 6421-2/00, 6422-1/00, 6423-9/00, 6424-7/01, 6431-0/00, 6432-8/00, 6433-6/00, 6434-4/00 e 6438-7/01).</w:t>
      </w:r>
    </w:p>
    <w:p w14:paraId="4D70EBE6" w14:textId="77777777"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Extração e beneficiamento de amianto (CNAE 0899-1/03).</w:t>
      </w:r>
    </w:p>
    <w:p w14:paraId="0016C35B" w14:textId="37E33D36"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Arial"/>
          <w:kern w:val="0"/>
          <w:sz w:val="24"/>
          <w:szCs w:val="24"/>
          <w:lang w:eastAsia="pt-BR"/>
          <w14:ligatures w14:val="none"/>
        </w:rPr>
        <w:t xml:space="preserve">Clubes (CNAE 9312-3/00). </w:t>
      </w:r>
    </w:p>
    <w:p w14:paraId="045123A6" w14:textId="23B00301" w:rsidR="00964AAA" w:rsidRPr="00964AAA" w:rsidRDefault="00964AAA" w:rsidP="00964AAA">
      <w:pPr>
        <w:numPr>
          <w:ilvl w:val="2"/>
          <w:numId w:val="2"/>
        </w:numPr>
        <w:tabs>
          <w:tab w:val="left" w:pos="1134"/>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Arial"/>
          <w:kern w:val="0"/>
          <w:sz w:val="24"/>
          <w:szCs w:val="24"/>
          <w:lang w:eastAsia="pt-BR"/>
          <w14:ligatures w14:val="none"/>
        </w:rPr>
        <w:t>Atividades que incorporem lavra rudimentar ou garimpo</w:t>
      </w:r>
      <w:r w:rsidR="00B76352">
        <w:rPr>
          <w:rFonts w:ascii="Arial" w:eastAsia="Times New Roman" w:hAnsi="Arial" w:cs="Arial"/>
          <w:kern w:val="0"/>
          <w:sz w:val="24"/>
          <w:szCs w:val="24"/>
          <w:lang w:eastAsia="pt-BR"/>
          <w14:ligatures w14:val="none"/>
        </w:rPr>
        <w:t xml:space="preserve"> (CNAE 0724</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3</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01 e 0893</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2</w:t>
      </w:r>
      <w:r w:rsidR="007D0933">
        <w:rPr>
          <w:rFonts w:ascii="Arial" w:eastAsia="Times New Roman" w:hAnsi="Arial" w:cs="Arial"/>
          <w:kern w:val="0"/>
          <w:sz w:val="24"/>
          <w:szCs w:val="24"/>
          <w:lang w:eastAsia="pt-BR"/>
          <w14:ligatures w14:val="none"/>
        </w:rPr>
        <w:t>/</w:t>
      </w:r>
      <w:r w:rsidR="00B76352">
        <w:rPr>
          <w:rFonts w:ascii="Arial" w:eastAsia="Times New Roman" w:hAnsi="Arial" w:cs="Arial"/>
          <w:kern w:val="0"/>
          <w:sz w:val="24"/>
          <w:szCs w:val="24"/>
          <w:lang w:eastAsia="pt-BR"/>
          <w14:ligatures w14:val="none"/>
        </w:rPr>
        <w:t>00)</w:t>
      </w:r>
      <w:r w:rsidRPr="00964AAA">
        <w:rPr>
          <w:rFonts w:ascii="Arial" w:eastAsia="Times New Roman" w:hAnsi="Arial" w:cs="Arial"/>
          <w:kern w:val="0"/>
          <w:sz w:val="24"/>
          <w:szCs w:val="24"/>
          <w:lang w:eastAsia="pt-BR"/>
          <w14:ligatures w14:val="none"/>
        </w:rPr>
        <w:t xml:space="preserve">. </w:t>
      </w:r>
    </w:p>
    <w:p w14:paraId="37D14384" w14:textId="327014A8" w:rsidR="00964AAA" w:rsidRPr="00E85D0B" w:rsidRDefault="00964AAA" w:rsidP="00964AAA">
      <w:pPr>
        <w:numPr>
          <w:ilvl w:val="1"/>
          <w:numId w:val="2"/>
        </w:numPr>
        <w:spacing w:before="120" w:after="120" w:line="240" w:lineRule="auto"/>
        <w:ind w:left="1134" w:hanging="567"/>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As vedações listadas no item </w:t>
      </w:r>
      <w:r w:rsidRPr="00517536">
        <w:rPr>
          <w:rFonts w:ascii="Arial" w:eastAsia="Times New Roman" w:hAnsi="Arial" w:cs="Times New Roman"/>
          <w:bCs/>
          <w:kern w:val="0"/>
          <w:sz w:val="24"/>
          <w:szCs w:val="20"/>
          <w:lang w:eastAsia="pt-BR"/>
          <w14:ligatures w14:val="none"/>
        </w:rPr>
        <w:t>3.1</w:t>
      </w:r>
      <w:r w:rsidRPr="00FA1578">
        <w:rPr>
          <w:rFonts w:ascii="Arial" w:eastAsia="Times New Roman" w:hAnsi="Arial" w:cs="Times New Roman"/>
          <w:bCs/>
          <w:kern w:val="0"/>
          <w:sz w:val="24"/>
          <w:szCs w:val="20"/>
          <w:lang w:eastAsia="pt-BR"/>
          <w14:ligatures w14:val="none"/>
        </w:rPr>
        <w:t xml:space="preserve"> são aplicáveis à atividade econômica principal, bem como à(s) atividade(s) econô</w:t>
      </w:r>
      <w:r w:rsidRPr="00964AAA">
        <w:rPr>
          <w:rFonts w:ascii="Arial" w:eastAsia="Times New Roman" w:hAnsi="Arial" w:cs="Times New Roman"/>
          <w:bCs/>
          <w:kern w:val="0"/>
          <w:sz w:val="24"/>
          <w:szCs w:val="20"/>
          <w:lang w:eastAsia="pt-BR"/>
          <w14:ligatures w14:val="none"/>
        </w:rPr>
        <w:t xml:space="preserve">mica(s) secundária(s), se houver, dos Clientes </w:t>
      </w:r>
      <w:r w:rsidRPr="00E85D0B">
        <w:rPr>
          <w:rFonts w:ascii="Arial" w:eastAsia="Times New Roman" w:hAnsi="Arial" w:cs="Times New Roman"/>
          <w:bCs/>
          <w:kern w:val="0"/>
          <w:sz w:val="24"/>
          <w:szCs w:val="20"/>
          <w:lang w:eastAsia="pt-BR"/>
          <w14:ligatures w14:val="none"/>
        </w:rPr>
        <w:t xml:space="preserve">Finais. </w:t>
      </w:r>
    </w:p>
    <w:p w14:paraId="19F3ACED" w14:textId="782C5808" w:rsidR="00964AAA" w:rsidRPr="00E85D0B" w:rsidRDefault="00964AAA" w:rsidP="00964AAA">
      <w:pPr>
        <w:numPr>
          <w:ilvl w:val="1"/>
          <w:numId w:val="2"/>
        </w:numPr>
        <w:spacing w:before="120" w:after="120" w:line="240" w:lineRule="auto"/>
        <w:ind w:left="1134" w:hanging="567"/>
        <w:jc w:val="both"/>
        <w:rPr>
          <w:rFonts w:ascii="Arial" w:eastAsia="Times New Roman" w:hAnsi="Arial" w:cs="Times New Roman"/>
          <w:bCs/>
          <w:kern w:val="0"/>
          <w:sz w:val="24"/>
          <w:szCs w:val="20"/>
          <w:lang w:eastAsia="pt-BR"/>
          <w14:ligatures w14:val="none"/>
        </w:rPr>
      </w:pPr>
      <w:r w:rsidRPr="00E85D0B">
        <w:rPr>
          <w:rFonts w:ascii="Arial" w:eastAsia="Times New Roman" w:hAnsi="Arial" w:cs="Times New Roman"/>
          <w:bCs/>
          <w:kern w:val="0"/>
          <w:sz w:val="24"/>
          <w:szCs w:val="20"/>
          <w:lang w:eastAsia="pt-BR"/>
          <w14:ligatures w14:val="none"/>
        </w:rPr>
        <w:t xml:space="preserve">Também não serão passíveis </w:t>
      </w:r>
      <w:r w:rsidRPr="00E85D0B">
        <w:rPr>
          <w:rFonts w:ascii="Arial" w:eastAsia="Times New Roman" w:hAnsi="Arial" w:cs="Times New Roman"/>
          <w:kern w:val="0"/>
          <w:sz w:val="24"/>
          <w:szCs w:val="20"/>
          <w:lang w:eastAsia="pt-BR"/>
          <w14:ligatures w14:val="none"/>
        </w:rPr>
        <w:t>gastos de qualquer natureza em atividades empresariais que violem os termos dos seguintes acordos internacionais ratificados pelo Brasil:</w:t>
      </w:r>
    </w:p>
    <w:p w14:paraId="343DB885"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sobre a Proibição do Desenvolvimento, Produção e Estocagem de Armas Bacteriológicas (Biológicas) e à Base de Toxinas e sua Destruição, promulgada pelo Decreto nº 77.374, de 01.04.1976.</w:t>
      </w:r>
    </w:p>
    <w:p w14:paraId="3EDC978A"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Viena para a Proteção da Camada de Ozônio e do Protocolo de Montreal sobre Substâncias que Destroem a Camada de Ozônio, promulgada pelo Decreto nº 99.280, de 06.06.1990.</w:t>
      </w:r>
    </w:p>
    <w:p w14:paraId="2FAE5F14" w14:textId="54C96FEF"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Basil</w:t>
      </w:r>
      <w:r w:rsidR="00DD238C">
        <w:rPr>
          <w:rFonts w:ascii="Arial" w:eastAsia="Times New Roman" w:hAnsi="Arial" w:cs="Times New Roman"/>
          <w:bCs/>
          <w:kern w:val="0"/>
          <w:sz w:val="24"/>
          <w:szCs w:val="20"/>
          <w:lang w:eastAsia="pt-BR"/>
          <w14:ligatures w14:val="none"/>
        </w:rPr>
        <w:t>e</w:t>
      </w:r>
      <w:r w:rsidRPr="00964AAA">
        <w:rPr>
          <w:rFonts w:ascii="Arial" w:eastAsia="Times New Roman" w:hAnsi="Arial" w:cs="Times New Roman"/>
          <w:bCs/>
          <w:kern w:val="0"/>
          <w:sz w:val="24"/>
          <w:szCs w:val="20"/>
          <w:lang w:eastAsia="pt-BR"/>
          <w14:ligatures w14:val="none"/>
        </w:rPr>
        <w:t>ia sobre o Controle de Movimentos Transfronteiriços de Resíduos Perigosos e seu Depósito, promulgada pelo Decreto nº 875, de 19.07.1993.</w:t>
      </w:r>
    </w:p>
    <w:p w14:paraId="4F8242DA"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Tratado sobre a Não-Proliferação de Armas Nucleares, promulgado pelo Decreto nº 2.864, de 07.12.1998.</w:t>
      </w:r>
    </w:p>
    <w:p w14:paraId="534B9510"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Internacional sobre a Proibição do Desenvolvimento, Produção, Estocagem e Uso de Armas Químicas e sobre a Destruição das Armas Químicas Existentes no Mundo, promulgada pelo Decreto nº 2.977, de 01.03.1999.</w:t>
      </w:r>
    </w:p>
    <w:p w14:paraId="15A267EC"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sobre a Proibição do Uso, Armazenamento, Produção e Transferência de Minas Antipessoal e sobre sua Destruição, promulgada pelo Decreto nº 3.128, de 05.08.1999.</w:t>
      </w:r>
    </w:p>
    <w:p w14:paraId="12798BCC"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lastRenderedPageBreak/>
        <w:t>Convenção sobre Comércio Internacional das Espécies da Flora e Fauna Selvagens em Perigo de Extinção – CITES, promulgada pelo Decreto nº 3.607, de 21.09.2000.</w:t>
      </w:r>
    </w:p>
    <w:p w14:paraId="5BF4DA63" w14:textId="77777777"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Convenção de Estocolmo sobre Poluentes Orgânicos Persistentes, promulgada pelo Decreto nº 5.472, de 20.06.2005.</w:t>
      </w:r>
    </w:p>
    <w:p w14:paraId="5B6AFA87" w14:textId="3D151386" w:rsid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Convenção de </w:t>
      </w:r>
      <w:proofErr w:type="spellStart"/>
      <w:r w:rsidRPr="00964AAA">
        <w:rPr>
          <w:rFonts w:ascii="Arial" w:eastAsia="Times New Roman" w:hAnsi="Arial" w:cs="Times New Roman"/>
          <w:bCs/>
          <w:kern w:val="0"/>
          <w:sz w:val="24"/>
          <w:szCs w:val="20"/>
          <w:lang w:eastAsia="pt-BR"/>
          <w14:ligatures w14:val="none"/>
        </w:rPr>
        <w:t>Minamata</w:t>
      </w:r>
      <w:proofErr w:type="spellEnd"/>
      <w:r w:rsidRPr="00964AAA">
        <w:rPr>
          <w:rFonts w:ascii="Arial" w:eastAsia="Times New Roman" w:hAnsi="Arial" w:cs="Times New Roman"/>
          <w:bCs/>
          <w:kern w:val="0"/>
          <w:sz w:val="24"/>
          <w:szCs w:val="20"/>
          <w:lang w:eastAsia="pt-BR"/>
          <w14:ligatures w14:val="none"/>
        </w:rPr>
        <w:t xml:space="preserve"> sobre Mercúrio, promulgada pelo Decreto nº 9.470,</w:t>
      </w:r>
      <w:r w:rsidR="00B76352">
        <w:rPr>
          <w:rFonts w:ascii="Arial" w:eastAsia="Times New Roman" w:hAnsi="Arial" w:cs="Times New Roman"/>
          <w:bCs/>
          <w:kern w:val="0"/>
          <w:sz w:val="24"/>
          <w:szCs w:val="20"/>
          <w:lang w:eastAsia="pt-BR"/>
          <w14:ligatures w14:val="none"/>
        </w:rPr>
        <w:t xml:space="preserve"> </w:t>
      </w:r>
      <w:r w:rsidRPr="00964AAA">
        <w:rPr>
          <w:rFonts w:ascii="Arial" w:eastAsia="Times New Roman" w:hAnsi="Arial" w:cs="Times New Roman"/>
          <w:bCs/>
          <w:kern w:val="0"/>
          <w:sz w:val="24"/>
          <w:szCs w:val="20"/>
          <w:lang w:eastAsia="pt-BR"/>
          <w14:ligatures w14:val="none"/>
        </w:rPr>
        <w:t>de 14.08.2018.</w:t>
      </w:r>
    </w:p>
    <w:p w14:paraId="4D6C6F65" w14:textId="77777777" w:rsidR="006E174F" w:rsidRDefault="006E174F" w:rsidP="006E174F">
      <w:pPr>
        <w:keepNext/>
        <w:numPr>
          <w:ilvl w:val="0"/>
          <w:numId w:val="2"/>
        </w:numPr>
        <w:tabs>
          <w:tab w:val="clear" w:pos="425"/>
          <w:tab w:val="num" w:pos="567"/>
        </w:tabs>
        <w:spacing w:before="360" w:after="120" w:line="240" w:lineRule="auto"/>
        <w:ind w:left="567" w:hanging="567"/>
        <w:jc w:val="both"/>
        <w:rPr>
          <w:rFonts w:ascii="Arial" w:hAnsi="Arial"/>
          <w:b/>
        </w:rPr>
      </w:pPr>
      <w:bookmarkStart w:id="1" w:name="_Ref467682616"/>
      <w:r>
        <w:rPr>
          <w:rFonts w:ascii="Arial" w:hAnsi="Arial"/>
          <w:b/>
        </w:rPr>
        <w:t>CONDIÇÕES ADICIONAIS</w:t>
      </w:r>
    </w:p>
    <w:p w14:paraId="53FA433E" w14:textId="29AEB86F" w:rsidR="006E174F" w:rsidRDefault="006E174F" w:rsidP="006E174F">
      <w:pPr>
        <w:pStyle w:val="BNDES"/>
        <w:keepNext/>
        <w:keepLines/>
        <w:spacing w:before="120" w:after="120"/>
        <w:ind w:left="567"/>
        <w:rPr>
          <w:bCs/>
        </w:rPr>
      </w:pPr>
      <w:r>
        <w:rPr>
          <w:bCs/>
        </w:rPr>
        <w:t>Além das</w:t>
      </w:r>
      <w:r w:rsidRPr="009E1D59">
        <w:rPr>
          <w:bCs/>
        </w:rPr>
        <w:t xml:space="preserve"> restrições contidas no item </w:t>
      </w:r>
      <w:r w:rsidRPr="00FA1578">
        <w:rPr>
          <w:bCs/>
        </w:rPr>
        <w:t>3</w:t>
      </w:r>
      <w:r>
        <w:rPr>
          <w:bCs/>
        </w:rPr>
        <w:t xml:space="preserve">, é vedado o empréstimo para </w:t>
      </w:r>
      <w:r w:rsidRPr="009E1D59">
        <w:rPr>
          <w:bCs/>
        </w:rPr>
        <w:t xml:space="preserve">aquisição dos </w:t>
      </w:r>
      <w:r>
        <w:rPr>
          <w:bCs/>
        </w:rPr>
        <w:t>seguintes itens:</w:t>
      </w:r>
    </w:p>
    <w:p w14:paraId="42F27B4A" w14:textId="77777777" w:rsidR="006E174F" w:rsidRDefault="006E174F" w:rsidP="006E174F">
      <w:pPr>
        <w:pStyle w:val="BNDES"/>
        <w:numPr>
          <w:ilvl w:val="1"/>
          <w:numId w:val="2"/>
        </w:numPr>
        <w:tabs>
          <w:tab w:val="num" w:pos="5823"/>
        </w:tabs>
        <w:spacing w:before="120" w:after="120"/>
        <w:ind w:left="1134" w:hanging="567"/>
      </w:pPr>
      <w:r w:rsidRPr="001A2516">
        <w:t>Aquisição de terrenos e desapropriações;</w:t>
      </w:r>
    </w:p>
    <w:p w14:paraId="2EB6F089" w14:textId="77777777" w:rsidR="00DA797D" w:rsidRDefault="00DA797D" w:rsidP="00DA797D">
      <w:pPr>
        <w:pStyle w:val="BNDES"/>
        <w:numPr>
          <w:ilvl w:val="1"/>
          <w:numId w:val="2"/>
        </w:numPr>
        <w:tabs>
          <w:tab w:val="num" w:pos="5823"/>
        </w:tabs>
        <w:spacing w:before="120" w:after="120"/>
        <w:ind w:left="1134" w:hanging="567"/>
      </w:pPr>
      <w:bookmarkStart w:id="2" w:name="_Ref468355625"/>
      <w:r w:rsidRPr="001A2516">
        <w:t>Quaisquer gastos que impliquem remessa de divisas, incluindo taxa de franquia paga no exterior;</w:t>
      </w:r>
      <w:bookmarkEnd w:id="2"/>
    </w:p>
    <w:p w14:paraId="6B709096" w14:textId="77777777" w:rsidR="006E174F" w:rsidRDefault="006E174F" w:rsidP="006E174F">
      <w:pPr>
        <w:pStyle w:val="BNDES"/>
        <w:numPr>
          <w:ilvl w:val="1"/>
          <w:numId w:val="2"/>
        </w:numPr>
        <w:tabs>
          <w:tab w:val="num" w:pos="5823"/>
        </w:tabs>
        <w:spacing w:before="120" w:after="120"/>
        <w:ind w:left="1134" w:hanging="567"/>
      </w:pPr>
      <w:r w:rsidRPr="00517536">
        <w:t>Aquisição de animais para revenda;</w:t>
      </w:r>
    </w:p>
    <w:p w14:paraId="1C36D8FC" w14:textId="77777777" w:rsidR="00464B31" w:rsidRDefault="00464B31" w:rsidP="00464B31">
      <w:pPr>
        <w:pStyle w:val="BNDES"/>
        <w:numPr>
          <w:ilvl w:val="1"/>
          <w:numId w:val="2"/>
        </w:numPr>
        <w:tabs>
          <w:tab w:val="num" w:pos="5823"/>
        </w:tabs>
        <w:spacing w:before="120" w:after="120"/>
        <w:ind w:left="1134" w:hanging="567"/>
      </w:pPr>
      <w:r w:rsidRPr="0003473E">
        <w:t>Aquisição de armas e munições</w:t>
      </w:r>
      <w:r>
        <w:t>;</w:t>
      </w:r>
    </w:p>
    <w:p w14:paraId="002A672B" w14:textId="25EE4777" w:rsidR="00464B31" w:rsidRDefault="00464B31" w:rsidP="00E04B68">
      <w:pPr>
        <w:pStyle w:val="BNDES"/>
        <w:numPr>
          <w:ilvl w:val="1"/>
          <w:numId w:val="2"/>
        </w:numPr>
        <w:tabs>
          <w:tab w:val="num" w:pos="5823"/>
        </w:tabs>
        <w:spacing w:before="120" w:after="120"/>
        <w:ind w:left="1134" w:hanging="567"/>
      </w:pPr>
      <w:r w:rsidRPr="00405819">
        <w:t>Investimentos relacionados à parcela de geração de energia termelétrica a óleo derivado de petróleo (CNAE 3511-5/01) nos projetos híbridos de óleo derivado de petróleo com fontes energéticas renováveis nos sistemas isolados</w:t>
      </w:r>
      <w:r w:rsidR="00E04B68">
        <w:t>;</w:t>
      </w:r>
    </w:p>
    <w:p w14:paraId="0CEDB17E" w14:textId="77777777" w:rsidR="00E04B68" w:rsidRDefault="00E04B68" w:rsidP="00E04B68">
      <w:pPr>
        <w:pStyle w:val="BNDES"/>
        <w:numPr>
          <w:ilvl w:val="1"/>
          <w:numId w:val="2"/>
        </w:numPr>
        <w:tabs>
          <w:tab w:val="num" w:pos="5823"/>
        </w:tabs>
        <w:spacing w:before="120" w:after="120"/>
        <w:ind w:left="1134" w:hanging="567"/>
      </w:pPr>
      <w:r w:rsidRPr="0003473E">
        <w:t xml:space="preserve">Aquisição de bens, materiais ou serviços importados e os custos decorrentes da internalização </w:t>
      </w:r>
      <w:proofErr w:type="gramStart"/>
      <w:r w:rsidRPr="0003473E">
        <w:t>dos mesmos</w:t>
      </w:r>
      <w:proofErr w:type="gramEnd"/>
      <w:r>
        <w:t>;</w:t>
      </w:r>
    </w:p>
    <w:p w14:paraId="2F8E4121" w14:textId="7CDBE377" w:rsidR="00DA797D" w:rsidRDefault="00DA797D" w:rsidP="00DA797D">
      <w:pPr>
        <w:pStyle w:val="BNDES"/>
        <w:numPr>
          <w:ilvl w:val="1"/>
          <w:numId w:val="2"/>
        </w:numPr>
        <w:tabs>
          <w:tab w:val="num" w:pos="5823"/>
        </w:tabs>
        <w:spacing w:before="120" w:after="120"/>
        <w:ind w:left="1134" w:hanging="567"/>
      </w:pPr>
      <w:r w:rsidRPr="002864C2">
        <w:t>Gastos já financiados pelo Sistema BNDES</w:t>
      </w:r>
      <w:r>
        <w:t>;</w:t>
      </w:r>
    </w:p>
    <w:p w14:paraId="18403333" w14:textId="77777777" w:rsidR="006E174F" w:rsidRDefault="006E174F" w:rsidP="006E174F">
      <w:pPr>
        <w:pStyle w:val="BNDES"/>
        <w:numPr>
          <w:ilvl w:val="1"/>
          <w:numId w:val="2"/>
        </w:numPr>
        <w:tabs>
          <w:tab w:val="num" w:pos="5823"/>
        </w:tabs>
        <w:spacing w:before="120" w:after="120"/>
        <w:ind w:left="1134" w:hanging="567"/>
      </w:pPr>
      <w:r>
        <w:t>A</w:t>
      </w:r>
      <w:r w:rsidRPr="000F3F54">
        <w:t>quisição de outra empresa ou de participações societárias</w:t>
      </w:r>
      <w:r>
        <w:t>;</w:t>
      </w:r>
    </w:p>
    <w:p w14:paraId="71F8E42C" w14:textId="77777777" w:rsidR="006E174F" w:rsidRDefault="006E174F" w:rsidP="006E174F">
      <w:pPr>
        <w:pStyle w:val="BNDES"/>
        <w:numPr>
          <w:ilvl w:val="1"/>
          <w:numId w:val="2"/>
        </w:numPr>
        <w:tabs>
          <w:tab w:val="num" w:pos="5823"/>
        </w:tabs>
        <w:spacing w:before="120" w:after="120"/>
        <w:ind w:left="1134" w:hanging="567"/>
      </w:pPr>
      <w:r>
        <w:t>Compra de ativos financeiros</w:t>
      </w:r>
      <w:r w:rsidRPr="000F3F54">
        <w:t>;</w:t>
      </w:r>
    </w:p>
    <w:p w14:paraId="7456521C" w14:textId="77777777" w:rsidR="006E174F" w:rsidRDefault="006E174F" w:rsidP="006E174F">
      <w:pPr>
        <w:pStyle w:val="BNDES"/>
        <w:numPr>
          <w:ilvl w:val="1"/>
          <w:numId w:val="2"/>
        </w:numPr>
        <w:tabs>
          <w:tab w:val="num" w:pos="5823"/>
        </w:tabs>
        <w:spacing w:before="120" w:after="120"/>
        <w:ind w:left="1134" w:hanging="567"/>
      </w:pPr>
      <w:r>
        <w:t>C</w:t>
      </w:r>
      <w:r w:rsidRPr="00824993">
        <w:t xml:space="preserve">ompra de tecnologia e de royalties a empresas que integrem o mesmo grupo econômico a que </w:t>
      </w:r>
      <w:r>
        <w:t>o Cliente Final</w:t>
      </w:r>
      <w:r w:rsidRPr="00824993">
        <w:t xml:space="preserve"> pertença;</w:t>
      </w:r>
    </w:p>
    <w:p w14:paraId="2E98EC31" w14:textId="113BADC7" w:rsidR="006E174F" w:rsidRDefault="006E174F" w:rsidP="006E174F">
      <w:pPr>
        <w:pStyle w:val="BNDES"/>
        <w:numPr>
          <w:ilvl w:val="1"/>
          <w:numId w:val="2"/>
        </w:numPr>
        <w:tabs>
          <w:tab w:val="num" w:pos="5823"/>
        </w:tabs>
        <w:spacing w:before="120" w:after="120"/>
        <w:ind w:left="1134" w:hanging="567"/>
      </w:pPr>
      <w:r w:rsidRPr="0020664E">
        <w:t>Recuperação de capitais já investidos e pagamento de dívidas;</w:t>
      </w:r>
      <w:r w:rsidR="00513594">
        <w:t xml:space="preserve"> e</w:t>
      </w:r>
    </w:p>
    <w:p w14:paraId="18EE0ABE" w14:textId="5F05E17E" w:rsidR="00FA2117" w:rsidRPr="00FA2117" w:rsidRDefault="00FA2117" w:rsidP="006E174F">
      <w:pPr>
        <w:pStyle w:val="BNDES"/>
        <w:numPr>
          <w:ilvl w:val="1"/>
          <w:numId w:val="2"/>
        </w:numPr>
        <w:tabs>
          <w:tab w:val="num" w:pos="5823"/>
        </w:tabs>
        <w:spacing w:before="120" w:after="120"/>
        <w:ind w:left="1134" w:hanging="567"/>
      </w:pPr>
      <w:r w:rsidRPr="0003473E">
        <w:rPr>
          <w:bCs/>
        </w:rPr>
        <w:t>Aquisição de ativos públicos incluídos no Plano Nacional de Desestatização</w:t>
      </w:r>
      <w:r w:rsidR="00D84ABB">
        <w:rPr>
          <w:bCs/>
        </w:rPr>
        <w:t>.</w:t>
      </w:r>
    </w:p>
    <w:p w14:paraId="28606903" w14:textId="583A2171"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 xml:space="preserve">CONDIÇÕES DE </w:t>
      </w:r>
      <w:bookmarkEnd w:id="1"/>
      <w:r w:rsidR="005C1183">
        <w:rPr>
          <w:rFonts w:ascii="Arial" w:eastAsia="Times New Roman" w:hAnsi="Arial" w:cs="Times New Roman"/>
          <w:b/>
          <w:kern w:val="0"/>
          <w:sz w:val="24"/>
          <w:szCs w:val="20"/>
          <w:lang w:eastAsia="pt-BR"/>
          <w14:ligatures w14:val="none"/>
        </w:rPr>
        <w:t>CRÉDITO</w:t>
      </w:r>
    </w:p>
    <w:p w14:paraId="15A9736E" w14:textId="77777777" w:rsidR="00964AAA" w:rsidRPr="00964AAA" w:rsidRDefault="00964AAA" w:rsidP="00E85D0B">
      <w:pPr>
        <w:keepNext/>
        <w:numPr>
          <w:ilvl w:val="1"/>
          <w:numId w:val="2"/>
        </w:numPr>
        <w:tabs>
          <w:tab w:val="left" w:pos="1134"/>
        </w:tabs>
        <w:spacing w:before="120" w:after="120" w:line="240" w:lineRule="auto"/>
        <w:ind w:left="1134" w:hanging="567"/>
        <w:jc w:val="both"/>
        <w:rPr>
          <w:rFonts w:ascii="Arial" w:eastAsia="Times New Roman" w:hAnsi="Arial" w:cs="Times New Roman"/>
          <w:b/>
          <w:kern w:val="0"/>
          <w:sz w:val="24"/>
          <w:szCs w:val="20"/>
          <w:lang w:eastAsia="pt-BR"/>
          <w14:ligatures w14:val="none"/>
        </w:rPr>
      </w:pPr>
      <w:bookmarkStart w:id="3" w:name="_Ref468204031"/>
      <w:r w:rsidRPr="00964AAA">
        <w:rPr>
          <w:rFonts w:ascii="Arial" w:eastAsia="Times New Roman" w:hAnsi="Arial" w:cs="Times New Roman"/>
          <w:b/>
          <w:kern w:val="0"/>
          <w:sz w:val="24"/>
          <w:szCs w:val="20"/>
          <w:lang w:eastAsia="pt-BR"/>
          <w14:ligatures w14:val="none"/>
        </w:rPr>
        <w:t>Taxa de Juros</w:t>
      </w:r>
      <w:bookmarkEnd w:id="3"/>
    </w:p>
    <w:p w14:paraId="20BE068C" w14:textId="00D21779" w:rsidR="00964AAA" w:rsidRPr="00964AAA" w:rsidRDefault="00964AAA" w:rsidP="00964AAA">
      <w:pPr>
        <w:spacing w:before="120" w:after="120" w:line="240" w:lineRule="auto"/>
        <w:ind w:left="1134"/>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 xml:space="preserve">É o somatório </w:t>
      </w:r>
      <w:r w:rsidRPr="00964AAA">
        <w:rPr>
          <w:rFonts w:ascii="Arial" w:eastAsia="Times New Roman" w:hAnsi="Arial" w:cs="Times New Roman"/>
          <w:kern w:val="0"/>
          <w:sz w:val="24"/>
          <w:szCs w:val="20"/>
          <w:lang w:eastAsia="pt-BR"/>
          <w14:ligatures w14:val="none"/>
        </w:rPr>
        <w:t>do Custo Financeiro, Remuneração do Sistema BNDES</w:t>
      </w:r>
      <w:r w:rsidR="00175A91">
        <w:rPr>
          <w:rFonts w:ascii="Arial" w:eastAsia="Times New Roman" w:hAnsi="Arial" w:cs="Times New Roman"/>
          <w:kern w:val="0"/>
          <w:sz w:val="24"/>
          <w:szCs w:val="20"/>
          <w:lang w:eastAsia="pt-BR"/>
          <w14:ligatures w14:val="none"/>
        </w:rPr>
        <w:t xml:space="preserve"> e</w:t>
      </w:r>
      <w:r w:rsidRPr="00964AAA">
        <w:rPr>
          <w:rFonts w:ascii="Arial" w:eastAsia="Times New Roman" w:hAnsi="Arial" w:cs="Times New Roman"/>
          <w:kern w:val="0"/>
          <w:sz w:val="24"/>
          <w:szCs w:val="20"/>
          <w:lang w:eastAsia="pt-BR"/>
          <w14:ligatures w14:val="none"/>
        </w:rPr>
        <w:t xml:space="preserve"> Remuneração d</w:t>
      </w:r>
      <w:r w:rsidR="00175A91">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w:t>
      </w:r>
      <w:r w:rsidR="00175A91">
        <w:rPr>
          <w:rFonts w:ascii="Arial" w:eastAsia="Times New Roman" w:hAnsi="Arial" w:cs="Times New Roman"/>
          <w:kern w:val="0"/>
          <w:sz w:val="24"/>
          <w:szCs w:val="20"/>
          <w:lang w:eastAsia="pt-BR"/>
          <w14:ligatures w14:val="none"/>
        </w:rPr>
        <w:t>Agente</w:t>
      </w:r>
      <w:r w:rsidRPr="00964AAA">
        <w:rPr>
          <w:rFonts w:ascii="Arial" w:eastAsia="Times New Roman" w:hAnsi="Arial" w:cs="Times New Roman"/>
          <w:kern w:val="0"/>
          <w:sz w:val="24"/>
          <w:szCs w:val="20"/>
          <w:lang w:eastAsia="pt-BR"/>
          <w14:ligatures w14:val="none"/>
        </w:rPr>
        <w:t xml:space="preserve"> Financeir</w:t>
      </w:r>
      <w:r w:rsidR="00175A91">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Credenciad</w:t>
      </w:r>
      <w:r w:rsidR="00175A91">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w:t>
      </w:r>
    </w:p>
    <w:p w14:paraId="350DFC8E" w14:textId="77777777" w:rsidR="00964AAA" w:rsidRPr="00964AAA" w:rsidRDefault="00964AAA" w:rsidP="00F73FC1">
      <w:pPr>
        <w:keepNext/>
        <w:numPr>
          <w:ilvl w:val="2"/>
          <w:numId w:val="2"/>
        </w:numPr>
        <w:tabs>
          <w:tab w:val="left" w:pos="1843"/>
        </w:tabs>
        <w:spacing w:before="120" w:after="120" w:line="240" w:lineRule="auto"/>
        <w:ind w:left="1843" w:hanging="709"/>
        <w:jc w:val="both"/>
        <w:rPr>
          <w:rFonts w:ascii="Arial" w:eastAsia="Times New Roman" w:hAnsi="Arial" w:cs="Times New Roman"/>
          <w:b/>
          <w:bCs/>
          <w:kern w:val="0"/>
          <w:sz w:val="24"/>
          <w:szCs w:val="20"/>
          <w:lang w:eastAsia="pt-BR"/>
          <w14:ligatures w14:val="none"/>
        </w:rPr>
      </w:pPr>
      <w:bookmarkStart w:id="4" w:name="_Ref464140313"/>
      <w:r w:rsidRPr="00964AAA">
        <w:rPr>
          <w:rFonts w:ascii="Arial" w:eastAsia="Times New Roman" w:hAnsi="Arial" w:cs="Times New Roman"/>
          <w:b/>
          <w:bCs/>
          <w:kern w:val="0"/>
          <w:sz w:val="24"/>
          <w:szCs w:val="20"/>
          <w:lang w:eastAsia="pt-BR"/>
          <w14:ligatures w14:val="none"/>
        </w:rPr>
        <w:t>Custo Financeiro</w:t>
      </w:r>
      <w:bookmarkEnd w:id="4"/>
    </w:p>
    <w:p w14:paraId="4B7EE448" w14:textId="58073D37" w:rsidR="00964AAA" w:rsidRPr="00964AAA" w:rsidRDefault="00E92A4E" w:rsidP="00E85D0B">
      <w:pPr>
        <w:spacing w:before="120" w:after="120" w:line="240" w:lineRule="auto"/>
        <w:ind w:left="1843"/>
        <w:jc w:val="both"/>
        <w:rPr>
          <w:rFonts w:ascii="Arial" w:eastAsia="Times New Roman" w:hAnsi="Arial" w:cs="Arial"/>
          <w:b/>
          <w:i/>
          <w:snapToGrid w:val="0"/>
          <w:color w:val="000099"/>
          <w:kern w:val="0"/>
          <w:sz w:val="20"/>
          <w:szCs w:val="20"/>
          <w:lang w:eastAsia="pt-BR"/>
          <w14:ligatures w14:val="none"/>
        </w:rPr>
      </w:pPr>
      <w:r>
        <w:rPr>
          <w:rFonts w:ascii="Arial" w:eastAsia="Times New Roman" w:hAnsi="Arial" w:cs="Arial"/>
          <w:kern w:val="0"/>
          <w:sz w:val="24"/>
          <w:szCs w:val="20"/>
          <w:lang w:eastAsia="pt-BR"/>
          <w14:ligatures w14:val="none"/>
        </w:rPr>
        <w:t>É</w:t>
      </w:r>
      <w:r w:rsidRPr="00964AAA">
        <w:rPr>
          <w:rFonts w:ascii="Arial" w:eastAsia="Times New Roman" w:hAnsi="Arial" w:cs="Arial"/>
          <w:kern w:val="0"/>
          <w:sz w:val="24"/>
          <w:szCs w:val="20"/>
          <w:lang w:eastAsia="pt-BR"/>
          <w14:ligatures w14:val="none"/>
        </w:rPr>
        <w:t xml:space="preserve"> </w:t>
      </w:r>
      <w:r w:rsidR="00964AAA" w:rsidRPr="00964AAA">
        <w:rPr>
          <w:rFonts w:ascii="Arial" w:eastAsia="Times New Roman" w:hAnsi="Arial" w:cs="Arial"/>
          <w:kern w:val="0"/>
          <w:sz w:val="24"/>
          <w:szCs w:val="20"/>
          <w:lang w:eastAsia="pt-BR"/>
          <w14:ligatures w14:val="none"/>
        </w:rPr>
        <w:t xml:space="preserve">admitido </w:t>
      </w:r>
      <w:r w:rsidR="002D6A2C">
        <w:rPr>
          <w:rFonts w:ascii="Arial" w:eastAsia="Times New Roman" w:hAnsi="Arial" w:cs="Arial"/>
          <w:kern w:val="0"/>
          <w:sz w:val="24"/>
          <w:szCs w:val="20"/>
          <w:lang w:eastAsia="pt-BR"/>
          <w14:ligatures w14:val="none"/>
        </w:rPr>
        <w:t xml:space="preserve">o </w:t>
      </w:r>
      <w:r>
        <w:rPr>
          <w:rFonts w:ascii="Arial" w:eastAsia="Times New Roman" w:hAnsi="Arial" w:cs="Arial"/>
          <w:kern w:val="0"/>
          <w:sz w:val="24"/>
          <w:szCs w:val="20"/>
          <w:lang w:eastAsia="pt-BR"/>
          <w14:ligatures w14:val="none"/>
        </w:rPr>
        <w:t xml:space="preserve">custo financeiro da Taxa Fixa </w:t>
      </w:r>
      <w:r w:rsidR="00AB0DEF">
        <w:rPr>
          <w:rFonts w:ascii="Arial" w:eastAsia="Times New Roman" w:hAnsi="Arial" w:cs="Arial"/>
          <w:kern w:val="0"/>
          <w:sz w:val="24"/>
          <w:szCs w:val="20"/>
          <w:lang w:eastAsia="pt-BR"/>
          <w14:ligatures w14:val="none"/>
        </w:rPr>
        <w:t xml:space="preserve">BNDES </w:t>
      </w:r>
      <w:r>
        <w:rPr>
          <w:rFonts w:ascii="Arial" w:eastAsia="Times New Roman" w:hAnsi="Arial" w:cs="Arial"/>
          <w:kern w:val="0"/>
          <w:sz w:val="24"/>
          <w:szCs w:val="20"/>
          <w:lang w:eastAsia="pt-BR"/>
          <w14:ligatures w14:val="none"/>
        </w:rPr>
        <w:t>Digital (</w:t>
      </w:r>
      <w:r w:rsidR="00AB0DEF">
        <w:rPr>
          <w:rFonts w:ascii="Arial" w:eastAsia="Times New Roman" w:hAnsi="Arial" w:cs="Arial"/>
          <w:b/>
          <w:bCs/>
          <w:kern w:val="0"/>
          <w:sz w:val="24"/>
          <w:szCs w:val="20"/>
          <w:lang w:eastAsia="pt-BR"/>
          <w14:ligatures w14:val="none"/>
        </w:rPr>
        <w:t>TFB</w:t>
      </w:r>
      <w:r w:rsidR="00AB0DEF" w:rsidRPr="00E1035C">
        <w:rPr>
          <w:rFonts w:ascii="Arial" w:eastAsia="Times New Roman" w:hAnsi="Arial" w:cs="Arial"/>
          <w:b/>
          <w:bCs/>
          <w:kern w:val="0"/>
          <w:sz w:val="24"/>
          <w:szCs w:val="20"/>
          <w:vertAlign w:val="superscript"/>
          <w:lang w:eastAsia="pt-BR"/>
          <w14:ligatures w14:val="none"/>
        </w:rPr>
        <w:t>D</w:t>
      </w:r>
      <w:r w:rsidR="00942B66">
        <w:rPr>
          <w:rFonts w:ascii="Arial" w:eastAsia="Times New Roman" w:hAnsi="Arial" w:cs="Arial"/>
          <w:b/>
          <w:bCs/>
          <w:kern w:val="0"/>
          <w:sz w:val="24"/>
          <w:szCs w:val="20"/>
          <w:vertAlign w:val="superscript"/>
          <w:lang w:eastAsia="pt-BR"/>
          <w14:ligatures w14:val="none"/>
        </w:rPr>
        <w:t>IG</w:t>
      </w:r>
      <w:r>
        <w:rPr>
          <w:rFonts w:ascii="Arial" w:eastAsia="Times New Roman" w:hAnsi="Arial" w:cs="Arial"/>
          <w:kern w:val="0"/>
          <w:sz w:val="24"/>
          <w:szCs w:val="20"/>
          <w:lang w:eastAsia="pt-BR"/>
          <w14:ligatures w14:val="none"/>
        </w:rPr>
        <w:t>)</w:t>
      </w:r>
      <w:r w:rsidR="00964AAA" w:rsidRPr="00964AAA">
        <w:rPr>
          <w:rFonts w:ascii="Arial" w:eastAsia="Times New Roman" w:hAnsi="Arial" w:cs="Arial"/>
          <w:kern w:val="0"/>
          <w:sz w:val="24"/>
          <w:szCs w:val="20"/>
          <w:lang w:eastAsia="pt-BR"/>
          <w14:ligatures w14:val="none"/>
        </w:rPr>
        <w:t xml:space="preserve">, observadas as Circulares </w:t>
      </w:r>
      <w:r w:rsidR="00451DC9" w:rsidRPr="00451DC9">
        <w:rPr>
          <w:rFonts w:ascii="Arial" w:hAnsi="Arial" w:cs="Arial"/>
          <w:sz w:val="24"/>
          <w:szCs w:val="24"/>
        </w:rPr>
        <w:t>específicas de cada Produto ou Programa</w:t>
      </w:r>
      <w:r w:rsidRPr="00451DC9">
        <w:rPr>
          <w:rFonts w:ascii="Arial" w:eastAsia="Times New Roman" w:hAnsi="Arial" w:cs="Times New Roman"/>
          <w:kern w:val="0"/>
          <w:sz w:val="24"/>
          <w:szCs w:val="24"/>
          <w:lang w:eastAsia="pt-BR"/>
          <w14:ligatures w14:val="none"/>
        </w:rPr>
        <w:t>,</w:t>
      </w:r>
      <w:r>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deve</w:t>
      </w:r>
      <w:r>
        <w:rPr>
          <w:rFonts w:ascii="Arial" w:eastAsia="Times New Roman" w:hAnsi="Arial" w:cs="Times New Roman"/>
          <w:kern w:val="0"/>
          <w:sz w:val="24"/>
          <w:szCs w:val="20"/>
          <w:lang w:eastAsia="pt-BR"/>
          <w14:ligatures w14:val="none"/>
        </w:rPr>
        <w:t>ndo</w:t>
      </w:r>
      <w:r w:rsidRPr="00964AAA">
        <w:rPr>
          <w:rFonts w:ascii="Arial" w:eastAsia="Times New Roman" w:hAnsi="Arial" w:cs="Times New Roman"/>
          <w:kern w:val="0"/>
          <w:sz w:val="24"/>
          <w:szCs w:val="20"/>
          <w:lang w:eastAsia="pt-BR"/>
          <w14:ligatures w14:val="none"/>
        </w:rPr>
        <w:t xml:space="preserve"> ser </w:t>
      </w:r>
      <w:r w:rsidR="009C5F40">
        <w:rPr>
          <w:rFonts w:ascii="Arial" w:eastAsia="Times New Roman" w:hAnsi="Arial" w:cs="Times New Roman"/>
          <w:kern w:val="0"/>
          <w:sz w:val="24"/>
          <w:szCs w:val="20"/>
          <w:lang w:eastAsia="pt-BR"/>
          <w14:ligatures w14:val="none"/>
        </w:rPr>
        <w:t>c</w:t>
      </w:r>
      <w:r w:rsidRPr="00964AAA">
        <w:rPr>
          <w:rFonts w:ascii="Arial" w:eastAsia="Times New Roman" w:hAnsi="Arial" w:cs="Times New Roman"/>
          <w:kern w:val="0"/>
          <w:sz w:val="24"/>
          <w:szCs w:val="20"/>
          <w:lang w:eastAsia="pt-BR"/>
          <w14:ligatures w14:val="none"/>
        </w:rPr>
        <w:t>o</w:t>
      </w:r>
      <w:r w:rsidR="009C5F40">
        <w:rPr>
          <w:rFonts w:ascii="Arial" w:eastAsia="Times New Roman" w:hAnsi="Arial" w:cs="Times New Roman"/>
          <w:kern w:val="0"/>
          <w:sz w:val="24"/>
          <w:szCs w:val="20"/>
          <w:lang w:eastAsia="pt-BR"/>
          <w14:ligatures w14:val="none"/>
        </w:rPr>
        <w:t>nsiderado</w:t>
      </w:r>
      <w:r w:rsidR="008F40E3">
        <w:rPr>
          <w:rFonts w:ascii="Arial" w:eastAsia="Times New Roman" w:hAnsi="Arial" w:cs="Times New Roman"/>
          <w:kern w:val="0"/>
          <w:sz w:val="24"/>
          <w:szCs w:val="20"/>
          <w:lang w:eastAsia="pt-BR"/>
          <w14:ligatures w14:val="none"/>
        </w:rPr>
        <w:t xml:space="preserve"> também</w:t>
      </w:r>
      <w:r w:rsidRPr="00964AAA">
        <w:rPr>
          <w:rFonts w:ascii="Arial" w:eastAsia="Times New Roman" w:hAnsi="Arial" w:cs="Times New Roman"/>
          <w:kern w:val="0"/>
          <w:sz w:val="24"/>
          <w:szCs w:val="20"/>
          <w:lang w:eastAsia="pt-BR"/>
          <w14:ligatures w14:val="none"/>
        </w:rPr>
        <w:t xml:space="preserve"> o que se segue</w:t>
      </w:r>
      <w:r w:rsidRPr="00E85D0B">
        <w:rPr>
          <w:rFonts w:ascii="Arial" w:eastAsia="Times New Roman" w:hAnsi="Arial" w:cs="Arial"/>
          <w:b/>
          <w:color w:val="000099"/>
          <w:kern w:val="0"/>
          <w:sz w:val="20"/>
          <w:szCs w:val="20"/>
          <w:lang w:eastAsia="pt-BR"/>
          <w14:ligatures w14:val="none"/>
        </w:rPr>
        <w:t>:</w:t>
      </w:r>
    </w:p>
    <w:p w14:paraId="3E78510B" w14:textId="31C8AF26" w:rsidR="00964AAA" w:rsidRPr="00964AAA" w:rsidRDefault="00964AAA"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Times New Roman"/>
          <w:kern w:val="0"/>
          <w:sz w:val="24"/>
          <w:szCs w:val="20"/>
          <w:lang w:val="pt-PT" w:eastAsia="pt-BR"/>
          <w14:ligatures w14:val="none"/>
        </w:rPr>
      </w:pPr>
      <w:r w:rsidRPr="00964AAA">
        <w:rPr>
          <w:rFonts w:ascii="Arial" w:eastAsia="Times New Roman" w:hAnsi="Arial" w:cs="Times New Roman"/>
          <w:kern w:val="0"/>
          <w:sz w:val="24"/>
          <w:szCs w:val="20"/>
          <w:lang w:eastAsia="pt-BR"/>
          <w14:ligatures w14:val="none"/>
        </w:rPr>
        <w:t xml:space="preserve">O BNDES </w:t>
      </w:r>
      <w:r w:rsidR="00E16921">
        <w:rPr>
          <w:rFonts w:ascii="Arial" w:eastAsia="Times New Roman" w:hAnsi="Arial" w:cs="Times New Roman"/>
          <w:kern w:val="0"/>
          <w:sz w:val="24"/>
          <w:szCs w:val="20"/>
          <w:lang w:eastAsia="pt-BR"/>
          <w14:ligatures w14:val="none"/>
        </w:rPr>
        <w:t>fornecerá</w:t>
      </w:r>
      <w:r w:rsidR="009D7716">
        <w:rPr>
          <w:rFonts w:ascii="Arial" w:eastAsia="Times New Roman" w:hAnsi="Arial" w:cs="Times New Roman"/>
          <w:kern w:val="0"/>
          <w:sz w:val="24"/>
          <w:szCs w:val="20"/>
          <w:lang w:eastAsia="pt-BR"/>
          <w14:ligatures w14:val="none"/>
        </w:rPr>
        <w:t>,</w:t>
      </w:r>
      <w:r w:rsidR="004A2F51">
        <w:rPr>
          <w:rFonts w:ascii="Arial" w:eastAsia="Times New Roman" w:hAnsi="Arial" w:cs="Times New Roman"/>
          <w:kern w:val="0"/>
          <w:sz w:val="24"/>
          <w:szCs w:val="20"/>
          <w:lang w:eastAsia="pt-BR"/>
          <w14:ligatures w14:val="none"/>
        </w:rPr>
        <w:t xml:space="preserve"> para fins de simulação</w:t>
      </w:r>
      <w:r w:rsidR="00E16921">
        <w:rPr>
          <w:rFonts w:ascii="Arial" w:eastAsia="Times New Roman" w:hAnsi="Arial" w:cs="Times New Roman"/>
          <w:kern w:val="0"/>
          <w:sz w:val="24"/>
          <w:szCs w:val="20"/>
          <w:lang w:eastAsia="pt-BR"/>
          <w14:ligatures w14:val="none"/>
        </w:rPr>
        <w:t xml:space="preserve">, por meio de API, a </w:t>
      </w:r>
      <w:r w:rsidR="00092420">
        <w:rPr>
          <w:rFonts w:ascii="Arial" w:eastAsia="Times New Roman" w:hAnsi="Arial" w:cs="Times New Roman"/>
          <w:kern w:val="0"/>
          <w:sz w:val="24"/>
          <w:szCs w:val="20"/>
          <w:lang w:eastAsia="pt-BR"/>
          <w14:ligatures w14:val="none"/>
        </w:rPr>
        <w:t>R</w:t>
      </w:r>
      <w:r w:rsidR="00E16921">
        <w:rPr>
          <w:rFonts w:ascii="Arial" w:eastAsia="Times New Roman" w:hAnsi="Arial" w:cs="Times New Roman"/>
          <w:kern w:val="0"/>
          <w:sz w:val="24"/>
          <w:szCs w:val="20"/>
          <w:lang w:eastAsia="pt-BR"/>
          <w14:ligatures w14:val="none"/>
        </w:rPr>
        <w:t xml:space="preserve">emuneração </w:t>
      </w:r>
      <w:r w:rsidR="00092420">
        <w:rPr>
          <w:rFonts w:ascii="Arial" w:eastAsia="Times New Roman" w:hAnsi="Arial" w:cs="Times New Roman"/>
          <w:kern w:val="0"/>
          <w:sz w:val="24"/>
          <w:szCs w:val="20"/>
          <w:lang w:eastAsia="pt-BR"/>
          <w14:ligatures w14:val="none"/>
        </w:rPr>
        <w:t xml:space="preserve">do </w:t>
      </w:r>
      <w:r w:rsidR="00E16921">
        <w:rPr>
          <w:rFonts w:ascii="Arial" w:eastAsia="Times New Roman" w:hAnsi="Arial" w:cs="Times New Roman"/>
          <w:kern w:val="0"/>
          <w:sz w:val="24"/>
          <w:szCs w:val="20"/>
          <w:lang w:eastAsia="pt-BR"/>
          <w14:ligatures w14:val="none"/>
        </w:rPr>
        <w:t xml:space="preserve">BNDES e </w:t>
      </w:r>
      <w:r w:rsidRPr="00964AAA">
        <w:rPr>
          <w:rFonts w:ascii="Arial" w:eastAsia="Times New Roman" w:hAnsi="Arial" w:cs="Times New Roman"/>
          <w:kern w:val="0"/>
          <w:sz w:val="24"/>
          <w:szCs w:val="20"/>
          <w:lang w:eastAsia="pt-BR"/>
          <w14:ligatures w14:val="none"/>
        </w:rPr>
        <w:t xml:space="preserve">o valor da </w:t>
      </w:r>
      <w:r w:rsidR="00B16020">
        <w:rPr>
          <w:rFonts w:ascii="Arial" w:eastAsia="Times New Roman" w:hAnsi="Arial" w:cs="Times New Roman"/>
          <w:kern w:val="0"/>
          <w:sz w:val="24"/>
          <w:szCs w:val="20"/>
          <w:lang w:eastAsia="pt-BR"/>
          <w14:ligatures w14:val="none"/>
        </w:rPr>
        <w:t>TFB</w:t>
      </w:r>
      <w:r w:rsidR="00942B66" w:rsidRPr="00E1035C">
        <w:rPr>
          <w:rFonts w:ascii="Arial" w:eastAsia="Times New Roman" w:hAnsi="Arial" w:cs="Times New Roman"/>
          <w:kern w:val="0"/>
          <w:sz w:val="24"/>
          <w:szCs w:val="20"/>
          <w:vertAlign w:val="superscript"/>
          <w:lang w:eastAsia="pt-BR"/>
          <w14:ligatures w14:val="none"/>
        </w:rPr>
        <w:t>DIG</w:t>
      </w:r>
      <w:r w:rsidR="00E16921"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válido</w:t>
      </w:r>
      <w:r w:rsidR="009F0305">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a ser</w:t>
      </w:r>
      <w:r w:rsidR="009C5F40">
        <w:rPr>
          <w:rFonts w:ascii="Arial" w:eastAsia="Times New Roman" w:hAnsi="Arial" w:cs="Times New Roman"/>
          <w:kern w:val="0"/>
          <w:sz w:val="24"/>
          <w:szCs w:val="20"/>
          <w:lang w:eastAsia="pt-BR"/>
          <w14:ligatures w14:val="none"/>
        </w:rPr>
        <w:t>em</w:t>
      </w:r>
      <w:r w:rsidRPr="00964AAA">
        <w:rPr>
          <w:rFonts w:ascii="Arial" w:eastAsia="Times New Roman" w:hAnsi="Arial" w:cs="Times New Roman"/>
          <w:kern w:val="0"/>
          <w:sz w:val="24"/>
          <w:szCs w:val="20"/>
          <w:lang w:eastAsia="pt-BR"/>
          <w14:ligatures w14:val="none"/>
        </w:rPr>
        <w:t xml:space="preserve"> adotado</w:t>
      </w:r>
      <w:r w:rsidR="009C5F40">
        <w:rPr>
          <w:rFonts w:ascii="Arial" w:eastAsia="Times New Roman" w:hAnsi="Arial" w:cs="Times New Roman"/>
          <w:kern w:val="0"/>
          <w:sz w:val="24"/>
          <w:szCs w:val="20"/>
          <w:lang w:eastAsia="pt-BR"/>
          <w14:ligatures w14:val="none"/>
        </w:rPr>
        <w:t>s</w:t>
      </w:r>
      <w:r w:rsidRPr="00964AAA">
        <w:rPr>
          <w:rFonts w:ascii="Arial" w:eastAsia="Times New Roman" w:hAnsi="Arial" w:cs="Times New Roman"/>
          <w:kern w:val="0"/>
          <w:sz w:val="24"/>
          <w:szCs w:val="20"/>
          <w:lang w:eastAsia="pt-BR"/>
          <w14:ligatures w14:val="none"/>
        </w:rPr>
        <w:t xml:space="preserve">, </w:t>
      </w:r>
      <w:r w:rsidR="009C5F40">
        <w:rPr>
          <w:rFonts w:ascii="Arial" w:eastAsia="Times New Roman" w:hAnsi="Arial" w:cs="Times New Roman"/>
          <w:kern w:val="0"/>
          <w:sz w:val="24"/>
          <w:szCs w:val="20"/>
          <w:lang w:eastAsia="pt-BR"/>
          <w14:ligatures w14:val="none"/>
        </w:rPr>
        <w:t>sendo esse</w:t>
      </w:r>
      <w:r w:rsidRPr="00964AAA">
        <w:rPr>
          <w:rFonts w:ascii="Arial" w:eastAsia="Times New Roman" w:hAnsi="Arial" w:cs="Times New Roman"/>
          <w:kern w:val="0"/>
          <w:sz w:val="24"/>
          <w:szCs w:val="20"/>
          <w:lang w:eastAsia="pt-BR"/>
          <w14:ligatures w14:val="none"/>
        </w:rPr>
        <w:t xml:space="preserve"> diferenciado por faixas de enquadramento em razão do Prazo Total </w:t>
      </w:r>
      <w:r w:rsidR="00E16921">
        <w:rPr>
          <w:rFonts w:ascii="Arial" w:eastAsia="Times New Roman" w:hAnsi="Arial" w:cs="Times New Roman"/>
          <w:kern w:val="0"/>
          <w:sz w:val="24"/>
          <w:szCs w:val="20"/>
          <w:lang w:eastAsia="pt-BR"/>
          <w14:ligatures w14:val="none"/>
        </w:rPr>
        <w:t>da operação,</w:t>
      </w:r>
      <w:r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val="pt-PT" w:eastAsia="pt-BR"/>
          <w14:ligatures w14:val="none"/>
        </w:rPr>
        <w:t>conforme quadro abaixo:</w:t>
      </w:r>
      <w:r w:rsidRPr="00964AAA">
        <w:rPr>
          <w:rFonts w:ascii="Arial" w:eastAsia="Times New Roman" w:hAnsi="Arial" w:cs="Times New Roman"/>
          <w:kern w:val="0"/>
          <w:sz w:val="24"/>
          <w:szCs w:val="20"/>
          <w:lang w:eastAsia="pt-BR"/>
          <w14:ligatures w14:val="none"/>
        </w:rPr>
        <w:t xml:space="preserve"> </w:t>
      </w:r>
    </w:p>
    <w:tbl>
      <w:tblPr>
        <w:tblW w:w="4526" w:type="dxa"/>
        <w:tblInd w:w="2267" w:type="dxa"/>
        <w:tblLayout w:type="fixed"/>
        <w:tblCellMar>
          <w:left w:w="70" w:type="dxa"/>
          <w:right w:w="70" w:type="dxa"/>
        </w:tblCellMar>
        <w:tblLook w:val="04A0" w:firstRow="1" w:lastRow="0" w:firstColumn="1" w:lastColumn="0" w:noHBand="0" w:noVBand="1"/>
      </w:tblPr>
      <w:tblGrid>
        <w:gridCol w:w="2258"/>
        <w:gridCol w:w="2268"/>
      </w:tblGrid>
      <w:tr w:rsidR="00E92A4E" w:rsidRPr="00964AAA" w14:paraId="22D45BFC" w14:textId="77777777" w:rsidTr="00E85D0B">
        <w:trPr>
          <w:trHeight w:val="780"/>
        </w:trPr>
        <w:tc>
          <w:tcPr>
            <w:tcW w:w="225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8C9ECE9" w14:textId="20ED49BB" w:rsidR="00E92A4E" w:rsidRPr="00964AAA" w:rsidRDefault="00E92A4E" w:rsidP="00964AAA">
            <w:pPr>
              <w:spacing w:after="0" w:line="240" w:lineRule="auto"/>
              <w:jc w:val="center"/>
              <w:rPr>
                <w:rFonts w:ascii="Arial" w:eastAsia="Times New Roman" w:hAnsi="Arial" w:cs="Arial"/>
                <w:b/>
                <w:bCs/>
                <w:kern w:val="0"/>
                <w:sz w:val="20"/>
                <w:szCs w:val="20"/>
                <w:lang w:eastAsia="pt-BR"/>
                <w14:ligatures w14:val="none"/>
              </w:rPr>
            </w:pPr>
            <w:r w:rsidRPr="00964AAA">
              <w:rPr>
                <w:rFonts w:ascii="Arial" w:eastAsia="Times New Roman" w:hAnsi="Arial" w:cs="Arial"/>
                <w:b/>
                <w:bCs/>
                <w:kern w:val="0"/>
                <w:sz w:val="20"/>
                <w:szCs w:val="20"/>
                <w:lang w:eastAsia="pt-BR"/>
                <w14:ligatures w14:val="none"/>
              </w:rPr>
              <w:lastRenderedPageBreak/>
              <w:t xml:space="preserve">Faixa de Enquadramento </w:t>
            </w:r>
            <w:r w:rsidR="009C5F40">
              <w:rPr>
                <w:rFonts w:ascii="Arial" w:eastAsia="Times New Roman" w:hAnsi="Arial" w:cs="Arial"/>
                <w:b/>
                <w:bCs/>
                <w:kern w:val="0"/>
                <w:sz w:val="20"/>
                <w:szCs w:val="20"/>
                <w:lang w:eastAsia="pt-BR"/>
                <w14:ligatures w14:val="none"/>
              </w:rPr>
              <w:t xml:space="preserve">- </w:t>
            </w:r>
            <w:r w:rsidRPr="00964AAA">
              <w:rPr>
                <w:rFonts w:ascii="Arial" w:eastAsia="Times New Roman" w:hAnsi="Arial" w:cs="Arial"/>
                <w:b/>
                <w:bCs/>
                <w:kern w:val="0"/>
                <w:sz w:val="20"/>
                <w:szCs w:val="20"/>
                <w:lang w:eastAsia="pt-BR"/>
                <w14:ligatures w14:val="none"/>
              </w:rPr>
              <w:t xml:space="preserve">Taxa Fixa </w:t>
            </w:r>
            <w:r w:rsidR="00942B66">
              <w:rPr>
                <w:rFonts w:ascii="Arial" w:eastAsia="Times New Roman" w:hAnsi="Arial" w:cs="Arial"/>
                <w:b/>
                <w:bCs/>
                <w:kern w:val="0"/>
                <w:sz w:val="20"/>
                <w:szCs w:val="20"/>
                <w:lang w:eastAsia="pt-BR"/>
                <w14:ligatures w14:val="none"/>
              </w:rPr>
              <w:t xml:space="preserve">BNDES </w:t>
            </w:r>
            <w:r>
              <w:rPr>
                <w:rFonts w:ascii="Arial" w:eastAsia="Times New Roman" w:hAnsi="Arial" w:cs="Arial"/>
                <w:b/>
                <w:bCs/>
                <w:kern w:val="0"/>
                <w:sz w:val="20"/>
                <w:szCs w:val="20"/>
                <w:lang w:eastAsia="pt-BR"/>
                <w14:ligatures w14:val="none"/>
              </w:rPr>
              <w:t>Digital</w:t>
            </w:r>
            <w:r w:rsidRPr="00964AAA">
              <w:rPr>
                <w:rFonts w:ascii="Arial" w:eastAsia="Times New Roman" w:hAnsi="Arial" w:cs="Arial"/>
                <w:b/>
                <w:bCs/>
                <w:kern w:val="0"/>
                <w:sz w:val="20"/>
                <w:szCs w:val="20"/>
                <w:lang w:eastAsia="pt-BR"/>
                <w14:ligatures w14:val="none"/>
              </w:rPr>
              <w:t xml:space="preserve"> </w:t>
            </w:r>
          </w:p>
        </w:tc>
        <w:tc>
          <w:tcPr>
            <w:tcW w:w="2268" w:type="dxa"/>
            <w:tcBorders>
              <w:top w:val="single" w:sz="8" w:space="0" w:color="auto"/>
              <w:left w:val="nil"/>
              <w:bottom w:val="single" w:sz="8" w:space="0" w:color="auto"/>
              <w:right w:val="single" w:sz="8" w:space="0" w:color="auto"/>
            </w:tcBorders>
            <w:shd w:val="clear" w:color="auto" w:fill="D9D9D9"/>
            <w:vAlign w:val="center"/>
          </w:tcPr>
          <w:p w14:paraId="65927F48" w14:textId="3DA065BC" w:rsidR="00E92A4E" w:rsidRPr="00964AAA" w:rsidRDefault="00E92A4E" w:rsidP="00964AAA">
            <w:pPr>
              <w:spacing w:after="0" w:line="240" w:lineRule="auto"/>
              <w:jc w:val="center"/>
              <w:rPr>
                <w:rFonts w:ascii="Arial" w:eastAsia="Times New Roman" w:hAnsi="Arial" w:cs="Arial"/>
                <w:b/>
                <w:bCs/>
                <w:kern w:val="0"/>
                <w:sz w:val="20"/>
                <w:szCs w:val="20"/>
                <w:lang w:eastAsia="pt-BR"/>
                <w14:ligatures w14:val="none"/>
              </w:rPr>
            </w:pPr>
            <w:r w:rsidRPr="00964AAA">
              <w:rPr>
                <w:rFonts w:ascii="Arial" w:eastAsia="Times New Roman" w:hAnsi="Arial" w:cs="Arial"/>
                <w:b/>
                <w:bCs/>
                <w:kern w:val="0"/>
                <w:sz w:val="20"/>
                <w:szCs w:val="20"/>
                <w:lang w:eastAsia="pt-BR"/>
                <w14:ligatures w14:val="none"/>
              </w:rPr>
              <w:t>Prazo Total d</w:t>
            </w:r>
            <w:r w:rsidR="005C1183">
              <w:rPr>
                <w:rFonts w:ascii="Arial" w:eastAsia="Times New Roman" w:hAnsi="Arial" w:cs="Arial"/>
                <w:b/>
                <w:bCs/>
                <w:kern w:val="0"/>
                <w:sz w:val="20"/>
                <w:szCs w:val="20"/>
                <w:lang w:eastAsia="pt-BR"/>
                <w14:ligatures w14:val="none"/>
              </w:rPr>
              <w:t>a</w:t>
            </w:r>
            <w:r w:rsidRPr="00964AAA">
              <w:rPr>
                <w:rFonts w:ascii="Arial" w:eastAsia="Times New Roman" w:hAnsi="Arial" w:cs="Arial"/>
                <w:b/>
                <w:bCs/>
                <w:kern w:val="0"/>
                <w:sz w:val="20"/>
                <w:szCs w:val="20"/>
                <w:lang w:eastAsia="pt-BR"/>
                <w14:ligatures w14:val="none"/>
              </w:rPr>
              <w:t xml:space="preserve"> </w:t>
            </w:r>
            <w:r w:rsidR="005C1183">
              <w:rPr>
                <w:rFonts w:ascii="Arial" w:eastAsia="Times New Roman" w:hAnsi="Arial" w:cs="Arial"/>
                <w:b/>
                <w:bCs/>
                <w:kern w:val="0"/>
                <w:sz w:val="20"/>
                <w:szCs w:val="20"/>
                <w:lang w:eastAsia="pt-BR"/>
                <w14:ligatures w14:val="none"/>
              </w:rPr>
              <w:t>Operação</w:t>
            </w:r>
          </w:p>
        </w:tc>
      </w:tr>
      <w:tr w:rsidR="00E92A4E" w:rsidRPr="00964AAA" w14:paraId="7EA651E2" w14:textId="77777777" w:rsidTr="00E85D0B">
        <w:trPr>
          <w:trHeight w:val="51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47D99AC7" w14:textId="206BC47B" w:rsidR="00E92A4E" w:rsidRPr="00964AAA" w:rsidRDefault="00E92A4E" w:rsidP="00964AAA">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w:t>
            </w:r>
            <w:r w:rsidRPr="00964AAA">
              <w:rPr>
                <w:rFonts w:ascii="Arial" w:eastAsia="Times New Roman" w:hAnsi="Arial" w:cs="Arial"/>
                <w:kern w:val="0"/>
                <w:lang w:eastAsia="pt-BR"/>
                <w14:ligatures w14:val="none"/>
              </w:rPr>
              <w:t>F</w:t>
            </w:r>
            <w:r>
              <w:rPr>
                <w:rFonts w:ascii="Arial" w:eastAsia="Times New Roman" w:hAnsi="Arial" w:cs="Arial"/>
                <w:kern w:val="0"/>
                <w:lang w:eastAsia="pt-BR"/>
                <w14:ligatures w14:val="none"/>
              </w:rPr>
              <w:t>D</w:t>
            </w:r>
            <w:r w:rsidRPr="00964AAA">
              <w:rPr>
                <w:rFonts w:ascii="Arial" w:eastAsia="Times New Roman" w:hAnsi="Arial" w:cs="Arial"/>
                <w:kern w:val="0"/>
                <w:lang w:eastAsia="pt-BR"/>
                <w14:ligatures w14:val="none"/>
              </w:rPr>
              <w:t>-</w:t>
            </w:r>
            <w:r>
              <w:rPr>
                <w:rFonts w:ascii="Arial" w:eastAsia="Times New Roman" w:hAnsi="Arial" w:cs="Arial"/>
                <w:kern w:val="0"/>
                <w:lang w:eastAsia="pt-BR"/>
                <w14:ligatures w14:val="none"/>
              </w:rPr>
              <w:t>12</w:t>
            </w:r>
            <w:r w:rsidRPr="00964AAA">
              <w:rPr>
                <w:rFonts w:ascii="Arial" w:eastAsia="Times New Roman" w:hAnsi="Arial" w:cs="Arial"/>
                <w:kern w:val="0"/>
                <w:lang w:eastAsia="pt-BR"/>
                <w14:ligatures w14:val="none"/>
              </w:rPr>
              <w:t>.0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213A208" w14:textId="615D63CB" w:rsidR="00E92A4E" w:rsidRPr="00964AAA" w:rsidRDefault="00E92A4E" w:rsidP="00964AAA">
            <w:pPr>
              <w:spacing w:after="0" w:line="240" w:lineRule="auto"/>
              <w:jc w:val="center"/>
              <w:rPr>
                <w:rFonts w:ascii="Arial" w:eastAsia="Times New Roman" w:hAnsi="Arial" w:cs="Arial"/>
                <w:kern w:val="0"/>
                <w:lang w:eastAsia="pt-BR"/>
                <w14:ligatures w14:val="none"/>
              </w:rPr>
            </w:pPr>
            <w:r w:rsidRPr="00964AAA">
              <w:rPr>
                <w:rFonts w:ascii="Arial" w:eastAsia="Times New Roman" w:hAnsi="Arial" w:cs="Arial"/>
                <w:kern w:val="0"/>
                <w:lang w:eastAsia="pt-BR"/>
                <w14:ligatures w14:val="none"/>
              </w:rPr>
              <w:t xml:space="preserve">Até </w:t>
            </w:r>
            <w:r>
              <w:rPr>
                <w:rFonts w:ascii="Arial" w:eastAsia="Times New Roman" w:hAnsi="Arial" w:cs="Arial"/>
                <w:kern w:val="0"/>
                <w:lang w:eastAsia="pt-BR"/>
                <w14:ligatures w14:val="none"/>
              </w:rPr>
              <w:t>12</w:t>
            </w:r>
            <w:r w:rsidRPr="00964AAA">
              <w:rPr>
                <w:rFonts w:ascii="Arial" w:eastAsia="Times New Roman" w:hAnsi="Arial" w:cs="Arial"/>
                <w:kern w:val="0"/>
                <w:lang w:eastAsia="pt-BR"/>
                <w14:ligatures w14:val="none"/>
              </w:rPr>
              <w:t xml:space="preserve"> meses</w:t>
            </w:r>
          </w:p>
        </w:tc>
      </w:tr>
      <w:tr w:rsidR="00E92A4E" w:rsidRPr="00964AAA" w14:paraId="7D48A0A5" w14:textId="77777777" w:rsidTr="00E85D0B">
        <w:trPr>
          <w:trHeight w:val="51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4BB65AAE" w14:textId="132B4255" w:rsidR="00E92A4E" w:rsidRPr="00964AAA" w:rsidRDefault="00E16921" w:rsidP="00964AAA">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w:t>
            </w:r>
            <w:r w:rsidR="00E92A4E" w:rsidRPr="00964AAA">
              <w:rPr>
                <w:rFonts w:ascii="Arial" w:eastAsia="Times New Roman" w:hAnsi="Arial" w:cs="Arial"/>
                <w:kern w:val="0"/>
                <w:lang w:eastAsia="pt-BR"/>
                <w14:ligatures w14:val="none"/>
              </w:rPr>
              <w:t>F</w:t>
            </w:r>
            <w:r>
              <w:rPr>
                <w:rFonts w:ascii="Arial" w:eastAsia="Times New Roman" w:hAnsi="Arial" w:cs="Arial"/>
                <w:kern w:val="0"/>
                <w:lang w:eastAsia="pt-BR"/>
                <w14:ligatures w14:val="none"/>
              </w:rPr>
              <w:t>D</w:t>
            </w:r>
            <w:r w:rsidR="00E92A4E" w:rsidRPr="00964AAA">
              <w:rPr>
                <w:rFonts w:ascii="Arial" w:eastAsia="Times New Roman" w:hAnsi="Arial" w:cs="Arial"/>
                <w:kern w:val="0"/>
                <w:lang w:eastAsia="pt-BR"/>
                <w14:ligatures w14:val="none"/>
              </w:rPr>
              <w:t>-</w:t>
            </w:r>
            <w:r>
              <w:rPr>
                <w:rFonts w:ascii="Arial" w:eastAsia="Times New Roman" w:hAnsi="Arial" w:cs="Arial"/>
                <w:kern w:val="0"/>
                <w:lang w:eastAsia="pt-BR"/>
                <w14:ligatures w14:val="none"/>
              </w:rPr>
              <w:t>36</w:t>
            </w:r>
            <w:r w:rsidR="00E92A4E" w:rsidRPr="00964AAA">
              <w:rPr>
                <w:rFonts w:ascii="Arial" w:eastAsia="Times New Roman" w:hAnsi="Arial" w:cs="Arial"/>
                <w:kern w:val="0"/>
                <w:lang w:eastAsia="pt-BR"/>
                <w14:ligatures w14:val="none"/>
              </w:rPr>
              <w:t>.0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DC1A8F1" w14:textId="74023E3A" w:rsidR="00E92A4E" w:rsidRPr="00964AAA" w:rsidRDefault="00E92A4E" w:rsidP="00964AAA">
            <w:pPr>
              <w:spacing w:after="0" w:line="240" w:lineRule="auto"/>
              <w:jc w:val="center"/>
              <w:rPr>
                <w:rFonts w:ascii="Arial" w:eastAsia="Times New Roman" w:hAnsi="Arial" w:cs="Arial"/>
                <w:kern w:val="0"/>
                <w:lang w:eastAsia="pt-BR"/>
                <w14:ligatures w14:val="none"/>
              </w:rPr>
            </w:pPr>
            <w:r w:rsidRPr="00964AAA">
              <w:rPr>
                <w:rFonts w:ascii="Arial" w:eastAsia="Times New Roman" w:hAnsi="Arial" w:cs="Arial"/>
                <w:kern w:val="0"/>
                <w:lang w:eastAsia="pt-BR"/>
                <w14:ligatures w14:val="none"/>
              </w:rPr>
              <w:t xml:space="preserve">Acima de </w:t>
            </w:r>
            <w:r w:rsidR="00E16921">
              <w:rPr>
                <w:rFonts w:ascii="Arial" w:eastAsia="Times New Roman" w:hAnsi="Arial" w:cs="Arial"/>
                <w:kern w:val="0"/>
                <w:lang w:eastAsia="pt-BR"/>
                <w14:ligatures w14:val="none"/>
              </w:rPr>
              <w:t>12</w:t>
            </w:r>
            <w:r w:rsidR="00E16921" w:rsidRPr="00964AAA">
              <w:rPr>
                <w:rFonts w:ascii="Arial" w:eastAsia="Times New Roman" w:hAnsi="Arial" w:cs="Arial"/>
                <w:kern w:val="0"/>
                <w:lang w:eastAsia="pt-BR"/>
                <w14:ligatures w14:val="none"/>
              </w:rPr>
              <w:t xml:space="preserve"> </w:t>
            </w:r>
            <w:r w:rsidRPr="00964AAA">
              <w:rPr>
                <w:rFonts w:ascii="Arial" w:eastAsia="Times New Roman" w:hAnsi="Arial" w:cs="Arial"/>
                <w:kern w:val="0"/>
                <w:lang w:eastAsia="pt-BR"/>
                <w14:ligatures w14:val="none"/>
              </w:rPr>
              <w:t xml:space="preserve">meses e até </w:t>
            </w:r>
            <w:r w:rsidR="00E16921">
              <w:rPr>
                <w:rFonts w:ascii="Arial" w:eastAsia="Times New Roman" w:hAnsi="Arial" w:cs="Arial"/>
                <w:kern w:val="0"/>
                <w:lang w:eastAsia="pt-BR"/>
                <w14:ligatures w14:val="none"/>
              </w:rPr>
              <w:t>3</w:t>
            </w:r>
            <w:r w:rsidRPr="00964AAA">
              <w:rPr>
                <w:rFonts w:ascii="Arial" w:eastAsia="Times New Roman" w:hAnsi="Arial" w:cs="Arial"/>
                <w:kern w:val="0"/>
                <w:lang w:eastAsia="pt-BR"/>
                <w14:ligatures w14:val="none"/>
              </w:rPr>
              <w:t>6 meses</w:t>
            </w:r>
          </w:p>
        </w:tc>
      </w:tr>
      <w:tr w:rsidR="00E92A4E" w:rsidRPr="00964AAA" w14:paraId="225D300F" w14:textId="77777777" w:rsidTr="00E85D0B">
        <w:trPr>
          <w:trHeight w:val="51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tcPr>
          <w:p w14:paraId="34698DE5" w14:textId="1C43D476" w:rsidR="00E92A4E" w:rsidRPr="00964AAA" w:rsidRDefault="004A2F51" w:rsidP="00964AAA">
            <w:pPr>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CFD</w:t>
            </w:r>
            <w:r w:rsidR="00E92A4E" w:rsidRPr="00964AAA">
              <w:rPr>
                <w:rFonts w:ascii="Arial" w:eastAsia="Times New Roman" w:hAnsi="Arial" w:cs="Arial"/>
                <w:kern w:val="0"/>
                <w:lang w:eastAsia="pt-BR"/>
                <w14:ligatures w14:val="none"/>
              </w:rPr>
              <w:t>-</w:t>
            </w:r>
            <w:r w:rsidR="00E16921">
              <w:rPr>
                <w:rFonts w:ascii="Arial" w:eastAsia="Times New Roman" w:hAnsi="Arial" w:cs="Arial"/>
                <w:kern w:val="0"/>
                <w:lang w:eastAsia="pt-BR"/>
                <w14:ligatures w14:val="none"/>
              </w:rPr>
              <w:t>60</w:t>
            </w:r>
            <w:r w:rsidR="00E92A4E" w:rsidRPr="00964AAA">
              <w:rPr>
                <w:rFonts w:ascii="Arial" w:eastAsia="Times New Roman" w:hAnsi="Arial" w:cs="Arial"/>
                <w:kern w:val="0"/>
                <w:lang w:eastAsia="pt-BR"/>
                <w14:ligatures w14:val="none"/>
              </w:rPr>
              <w:t>.0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0755B30" w14:textId="6C632260" w:rsidR="00E92A4E" w:rsidRPr="00964AAA" w:rsidRDefault="00E92A4E" w:rsidP="00964AAA">
            <w:pPr>
              <w:spacing w:after="0" w:line="240" w:lineRule="auto"/>
              <w:jc w:val="center"/>
              <w:rPr>
                <w:rFonts w:ascii="Arial" w:eastAsia="Times New Roman" w:hAnsi="Arial" w:cs="Arial"/>
                <w:kern w:val="0"/>
                <w:lang w:eastAsia="pt-BR"/>
                <w14:ligatures w14:val="none"/>
              </w:rPr>
            </w:pPr>
            <w:r w:rsidRPr="00964AAA">
              <w:rPr>
                <w:rFonts w:ascii="Arial" w:eastAsia="Times New Roman" w:hAnsi="Arial" w:cs="Arial"/>
                <w:kern w:val="0"/>
                <w:lang w:eastAsia="pt-BR"/>
                <w14:ligatures w14:val="none"/>
              </w:rPr>
              <w:t xml:space="preserve">Acima de </w:t>
            </w:r>
            <w:r w:rsidR="00E16921">
              <w:rPr>
                <w:rFonts w:ascii="Arial" w:eastAsia="Times New Roman" w:hAnsi="Arial" w:cs="Arial"/>
                <w:kern w:val="0"/>
                <w:lang w:eastAsia="pt-BR"/>
                <w14:ligatures w14:val="none"/>
              </w:rPr>
              <w:t>3</w:t>
            </w:r>
            <w:r w:rsidRPr="00964AAA">
              <w:rPr>
                <w:rFonts w:ascii="Arial" w:eastAsia="Times New Roman" w:hAnsi="Arial" w:cs="Arial"/>
                <w:kern w:val="0"/>
                <w:lang w:eastAsia="pt-BR"/>
                <w14:ligatures w14:val="none"/>
              </w:rPr>
              <w:t xml:space="preserve">6 meses e até </w:t>
            </w:r>
            <w:r w:rsidR="00E16921">
              <w:rPr>
                <w:rFonts w:ascii="Arial" w:eastAsia="Times New Roman" w:hAnsi="Arial" w:cs="Arial"/>
                <w:kern w:val="0"/>
                <w:lang w:eastAsia="pt-BR"/>
                <w14:ligatures w14:val="none"/>
              </w:rPr>
              <w:t>60</w:t>
            </w:r>
            <w:r w:rsidRPr="00964AAA">
              <w:rPr>
                <w:rFonts w:ascii="Arial" w:eastAsia="Times New Roman" w:hAnsi="Arial" w:cs="Arial"/>
                <w:kern w:val="0"/>
                <w:lang w:eastAsia="pt-BR"/>
                <w14:ligatures w14:val="none"/>
              </w:rPr>
              <w:t xml:space="preserve"> meses</w:t>
            </w:r>
          </w:p>
        </w:tc>
      </w:tr>
    </w:tbl>
    <w:p w14:paraId="3AE7756D" w14:textId="6C18A44E" w:rsidR="00964AAA" w:rsidRPr="00964AAA" w:rsidRDefault="004A2F51"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Arial"/>
          <w:b/>
          <w:i/>
          <w:color w:val="000099"/>
          <w:kern w:val="0"/>
          <w:sz w:val="20"/>
          <w:szCs w:val="20"/>
          <w:lang w:eastAsia="pt-BR"/>
          <w14:ligatures w14:val="none"/>
        </w:rPr>
      </w:pPr>
      <w:r>
        <w:rPr>
          <w:rFonts w:ascii="Arial" w:eastAsia="Times New Roman" w:hAnsi="Arial" w:cs="Arial"/>
          <w:kern w:val="0"/>
          <w:sz w:val="24"/>
          <w:szCs w:val="24"/>
          <w:lang w:eastAsia="pt-BR"/>
          <w14:ligatures w14:val="none"/>
        </w:rPr>
        <w:t xml:space="preserve">No momento da homologação da operação, o BNDES verificará a </w:t>
      </w:r>
      <w:r w:rsidR="00C102BB">
        <w:rPr>
          <w:rFonts w:ascii="Arial" w:eastAsia="Times New Roman" w:hAnsi="Arial" w:cs="Arial"/>
          <w:kern w:val="0"/>
          <w:sz w:val="24"/>
          <w:szCs w:val="24"/>
          <w:lang w:eastAsia="pt-BR"/>
          <w14:ligatures w14:val="none"/>
        </w:rPr>
        <w:t>compatibilidade</w:t>
      </w:r>
      <w:r>
        <w:rPr>
          <w:rFonts w:ascii="Arial" w:eastAsia="Times New Roman" w:hAnsi="Arial" w:cs="Arial"/>
          <w:kern w:val="0"/>
          <w:sz w:val="24"/>
          <w:szCs w:val="24"/>
          <w:lang w:eastAsia="pt-BR"/>
          <w14:ligatures w14:val="none"/>
        </w:rPr>
        <w:t xml:space="preserve"> </w:t>
      </w:r>
      <w:r w:rsidR="00C102BB">
        <w:rPr>
          <w:rFonts w:ascii="Arial" w:eastAsia="Times New Roman" w:hAnsi="Arial" w:cs="Arial"/>
          <w:kern w:val="0"/>
          <w:sz w:val="24"/>
          <w:szCs w:val="24"/>
          <w:lang w:eastAsia="pt-BR"/>
          <w14:ligatures w14:val="none"/>
        </w:rPr>
        <w:t xml:space="preserve">da </w:t>
      </w:r>
      <w:r w:rsidR="006D1FFF">
        <w:rPr>
          <w:rFonts w:ascii="Arial" w:eastAsia="Times New Roman" w:hAnsi="Arial" w:cs="Arial"/>
          <w:kern w:val="0"/>
          <w:sz w:val="24"/>
          <w:szCs w:val="24"/>
          <w:lang w:eastAsia="pt-BR"/>
          <w14:ligatures w14:val="none"/>
        </w:rPr>
        <w:t>R</w:t>
      </w:r>
      <w:r w:rsidR="00C102BB">
        <w:rPr>
          <w:rFonts w:ascii="Arial" w:eastAsia="Times New Roman" w:hAnsi="Arial" w:cs="Arial"/>
          <w:kern w:val="0"/>
          <w:sz w:val="24"/>
          <w:szCs w:val="24"/>
          <w:lang w:eastAsia="pt-BR"/>
          <w14:ligatures w14:val="none"/>
        </w:rPr>
        <w:t>emuneração do BNDES informada pel</w:t>
      </w:r>
      <w:r w:rsidR="006D1FFF">
        <w:rPr>
          <w:rFonts w:ascii="Arial" w:eastAsia="Times New Roman" w:hAnsi="Arial" w:cs="Arial"/>
          <w:kern w:val="0"/>
          <w:sz w:val="24"/>
          <w:szCs w:val="24"/>
          <w:lang w:eastAsia="pt-BR"/>
          <w14:ligatures w14:val="none"/>
        </w:rPr>
        <w:t>o</w:t>
      </w:r>
      <w:r w:rsidR="00C102BB">
        <w:rPr>
          <w:rFonts w:ascii="Arial" w:eastAsia="Times New Roman" w:hAnsi="Arial" w:cs="Arial"/>
          <w:kern w:val="0"/>
          <w:sz w:val="24"/>
          <w:szCs w:val="24"/>
          <w:lang w:eastAsia="pt-BR"/>
          <w14:ligatures w14:val="none"/>
        </w:rPr>
        <w:t xml:space="preserve"> </w:t>
      </w:r>
      <w:r w:rsidR="006D1FFF">
        <w:rPr>
          <w:rFonts w:ascii="Arial" w:eastAsia="Times New Roman" w:hAnsi="Arial" w:cs="Arial"/>
          <w:kern w:val="0"/>
          <w:sz w:val="24"/>
          <w:szCs w:val="24"/>
          <w:lang w:eastAsia="pt-BR"/>
          <w14:ligatures w14:val="none"/>
        </w:rPr>
        <w:t>Agente Financeiro, bem como</w:t>
      </w:r>
      <w:r w:rsidR="00C102BB">
        <w:rPr>
          <w:rFonts w:ascii="Arial" w:eastAsia="Times New Roman" w:hAnsi="Arial" w:cs="Arial"/>
          <w:kern w:val="0"/>
          <w:sz w:val="24"/>
          <w:szCs w:val="24"/>
          <w:lang w:eastAsia="pt-BR"/>
          <w14:ligatures w14:val="none"/>
        </w:rPr>
        <w:t xml:space="preserve"> o</w:t>
      </w:r>
      <w:r>
        <w:rPr>
          <w:rFonts w:ascii="Arial" w:eastAsia="Times New Roman" w:hAnsi="Arial" w:cs="Arial"/>
          <w:kern w:val="0"/>
          <w:sz w:val="24"/>
          <w:szCs w:val="24"/>
          <w:lang w:eastAsia="pt-BR"/>
          <w14:ligatures w14:val="none"/>
        </w:rPr>
        <w:t>s valores referentes ao Prazo Total</w:t>
      </w:r>
      <w:r w:rsidR="00C102BB">
        <w:rPr>
          <w:rFonts w:ascii="Arial" w:eastAsia="Times New Roman" w:hAnsi="Arial" w:cs="Arial"/>
          <w:kern w:val="0"/>
          <w:sz w:val="24"/>
          <w:szCs w:val="24"/>
          <w:lang w:eastAsia="pt-BR"/>
          <w14:ligatures w14:val="none"/>
        </w:rPr>
        <w:t xml:space="preserve"> e </w:t>
      </w:r>
      <w:r>
        <w:rPr>
          <w:rFonts w:ascii="Arial" w:eastAsia="Times New Roman" w:hAnsi="Arial" w:cs="Arial"/>
          <w:kern w:val="0"/>
          <w:sz w:val="24"/>
          <w:szCs w:val="24"/>
          <w:lang w:eastAsia="pt-BR"/>
          <w14:ligatures w14:val="none"/>
        </w:rPr>
        <w:t xml:space="preserve">à </w:t>
      </w:r>
      <w:r w:rsidR="00E16D0D">
        <w:rPr>
          <w:rFonts w:ascii="Arial" w:eastAsia="Times New Roman" w:hAnsi="Arial" w:cs="Arial"/>
          <w:kern w:val="0"/>
          <w:sz w:val="24"/>
          <w:szCs w:val="24"/>
          <w:lang w:eastAsia="pt-BR"/>
          <w14:ligatures w14:val="none"/>
        </w:rPr>
        <w:t>TFB</w:t>
      </w:r>
      <w:r w:rsidR="00942B66" w:rsidRPr="00E1035C">
        <w:rPr>
          <w:rFonts w:ascii="Arial" w:eastAsia="Times New Roman" w:hAnsi="Arial" w:cs="Arial"/>
          <w:kern w:val="0"/>
          <w:sz w:val="24"/>
          <w:szCs w:val="24"/>
          <w:vertAlign w:val="superscript"/>
          <w:lang w:eastAsia="pt-BR"/>
          <w14:ligatures w14:val="none"/>
        </w:rPr>
        <w:t>DIG</w:t>
      </w:r>
      <w:r w:rsidR="00E16D0D">
        <w:rPr>
          <w:rFonts w:ascii="Arial" w:eastAsia="Times New Roman" w:hAnsi="Arial" w:cs="Arial"/>
          <w:kern w:val="0"/>
          <w:sz w:val="24"/>
          <w:szCs w:val="24"/>
          <w:lang w:eastAsia="pt-BR"/>
          <w14:ligatures w14:val="none"/>
        </w:rPr>
        <w:t xml:space="preserve"> </w:t>
      </w:r>
      <w:r>
        <w:rPr>
          <w:rFonts w:ascii="Arial" w:eastAsia="Times New Roman" w:hAnsi="Arial" w:cs="Arial"/>
          <w:kern w:val="0"/>
          <w:sz w:val="24"/>
          <w:szCs w:val="24"/>
          <w:lang w:eastAsia="pt-BR"/>
          <w14:ligatures w14:val="none"/>
        </w:rPr>
        <w:t>correspondente.</w:t>
      </w:r>
    </w:p>
    <w:p w14:paraId="32EDAB78" w14:textId="6FF8C8D0" w:rsidR="00964AAA" w:rsidRPr="00964AAA" w:rsidRDefault="00964AAA"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Arial"/>
          <w:b/>
          <w:i/>
          <w:color w:val="000099"/>
          <w:kern w:val="0"/>
          <w:sz w:val="20"/>
          <w:szCs w:val="20"/>
          <w:lang w:eastAsia="pt-BR"/>
          <w14:ligatures w14:val="none"/>
        </w:rPr>
      </w:pPr>
      <w:r w:rsidRPr="00964AAA">
        <w:rPr>
          <w:rFonts w:ascii="Arial" w:eastAsia="Times New Roman" w:hAnsi="Arial" w:cs="Arial"/>
          <w:kern w:val="0"/>
          <w:sz w:val="24"/>
          <w:szCs w:val="24"/>
          <w:lang w:eastAsia="pt-BR"/>
          <w14:ligatures w14:val="none"/>
        </w:rPr>
        <w:t>Sob pena de cancelamento</w:t>
      </w:r>
      <w:r w:rsidR="00DD0987">
        <w:rPr>
          <w:rFonts w:ascii="Arial" w:eastAsia="Times New Roman" w:hAnsi="Arial" w:cs="Arial"/>
          <w:kern w:val="0"/>
          <w:sz w:val="24"/>
          <w:szCs w:val="24"/>
          <w:lang w:eastAsia="pt-BR"/>
          <w14:ligatures w14:val="none"/>
        </w:rPr>
        <w:t xml:space="preserve"> da operação</w:t>
      </w:r>
      <w:r w:rsidRPr="00964AAA">
        <w:rPr>
          <w:rFonts w:ascii="Arial" w:eastAsia="Times New Roman" w:hAnsi="Arial" w:cs="Arial"/>
          <w:kern w:val="0"/>
          <w:sz w:val="24"/>
          <w:szCs w:val="24"/>
          <w:lang w:eastAsia="pt-BR"/>
          <w14:ligatures w14:val="none"/>
        </w:rPr>
        <w:t xml:space="preserve">, a </w:t>
      </w:r>
      <w:r w:rsidR="00DD0987">
        <w:rPr>
          <w:rFonts w:ascii="Arial" w:eastAsia="Times New Roman" w:hAnsi="Arial" w:cs="Arial"/>
          <w:kern w:val="0"/>
          <w:sz w:val="24"/>
          <w:szCs w:val="24"/>
          <w:lang w:eastAsia="pt-BR"/>
          <w14:ligatures w14:val="none"/>
        </w:rPr>
        <w:t xml:space="preserve">formalização da </w:t>
      </w:r>
      <w:r w:rsidRPr="00964AAA">
        <w:rPr>
          <w:rFonts w:ascii="Arial" w:eastAsia="Times New Roman" w:hAnsi="Arial" w:cs="Arial"/>
          <w:kern w:val="0"/>
          <w:sz w:val="24"/>
          <w:szCs w:val="24"/>
          <w:lang w:eastAsia="pt-BR"/>
          <w14:ligatures w14:val="none"/>
        </w:rPr>
        <w:t xml:space="preserve">contratação da operação de crédito </w:t>
      </w:r>
      <w:r w:rsidR="00DD0987">
        <w:rPr>
          <w:rFonts w:ascii="Arial" w:eastAsia="Times New Roman" w:hAnsi="Arial" w:cs="Arial"/>
          <w:kern w:val="0"/>
          <w:sz w:val="24"/>
          <w:szCs w:val="24"/>
          <w:lang w:eastAsia="pt-BR"/>
          <w14:ligatures w14:val="none"/>
        </w:rPr>
        <w:t xml:space="preserve">e a liberação dos recursos </w:t>
      </w:r>
      <w:r w:rsidR="006D1FFF">
        <w:rPr>
          <w:rFonts w:ascii="Arial" w:eastAsia="Times New Roman" w:hAnsi="Arial" w:cs="Arial"/>
          <w:kern w:val="0"/>
          <w:sz w:val="24"/>
          <w:szCs w:val="24"/>
          <w:lang w:eastAsia="pt-BR"/>
          <w14:ligatures w14:val="none"/>
        </w:rPr>
        <w:t xml:space="preserve">pelo Agente Financeiro </w:t>
      </w:r>
      <w:r w:rsidR="00DD0987">
        <w:rPr>
          <w:rFonts w:ascii="Arial" w:eastAsia="Times New Roman" w:hAnsi="Arial" w:cs="Arial"/>
          <w:kern w:val="0"/>
          <w:sz w:val="24"/>
          <w:szCs w:val="24"/>
          <w:lang w:eastAsia="pt-BR"/>
          <w14:ligatures w14:val="none"/>
        </w:rPr>
        <w:t>para</w:t>
      </w:r>
      <w:r w:rsidRPr="00964AAA">
        <w:rPr>
          <w:rFonts w:ascii="Arial" w:eastAsia="Times New Roman" w:hAnsi="Arial" w:cs="Arial"/>
          <w:kern w:val="0"/>
          <w:sz w:val="24"/>
          <w:szCs w:val="24"/>
          <w:lang w:eastAsia="pt-BR"/>
          <w14:ligatures w14:val="none"/>
        </w:rPr>
        <w:t xml:space="preserve"> o Cliente </w:t>
      </w:r>
      <w:r w:rsidR="006D1FFF">
        <w:rPr>
          <w:rFonts w:ascii="Arial" w:eastAsia="Times New Roman" w:hAnsi="Arial" w:cs="Arial"/>
          <w:kern w:val="0"/>
          <w:sz w:val="24"/>
          <w:szCs w:val="24"/>
          <w:lang w:eastAsia="pt-BR"/>
          <w14:ligatures w14:val="none"/>
        </w:rPr>
        <w:t xml:space="preserve">Final </w:t>
      </w:r>
      <w:r w:rsidR="00DD0987">
        <w:rPr>
          <w:rFonts w:ascii="Arial" w:eastAsia="Times New Roman" w:hAnsi="Arial" w:cs="Arial"/>
          <w:kern w:val="0"/>
          <w:sz w:val="24"/>
          <w:szCs w:val="24"/>
          <w:lang w:eastAsia="pt-BR"/>
          <w14:ligatures w14:val="none"/>
        </w:rPr>
        <w:t xml:space="preserve">deve ocorrer no mesmo dia da homologação </w:t>
      </w:r>
      <w:r w:rsidR="006D1FFF">
        <w:rPr>
          <w:rFonts w:ascii="Arial" w:eastAsia="Times New Roman" w:hAnsi="Arial" w:cs="Arial"/>
          <w:kern w:val="0"/>
          <w:sz w:val="24"/>
          <w:szCs w:val="24"/>
          <w:lang w:eastAsia="pt-BR"/>
          <w14:ligatures w14:val="none"/>
        </w:rPr>
        <w:t>pelo</w:t>
      </w:r>
      <w:r w:rsidR="00DD0987">
        <w:rPr>
          <w:rFonts w:ascii="Arial" w:eastAsia="Times New Roman" w:hAnsi="Arial" w:cs="Arial"/>
          <w:kern w:val="0"/>
          <w:sz w:val="24"/>
          <w:szCs w:val="24"/>
          <w:lang w:eastAsia="pt-BR"/>
          <w14:ligatures w14:val="none"/>
        </w:rPr>
        <w:t xml:space="preserve"> BNDES</w:t>
      </w:r>
      <w:r w:rsidRPr="00964AAA">
        <w:rPr>
          <w:rFonts w:ascii="Arial" w:eastAsia="Times New Roman" w:hAnsi="Arial" w:cs="Arial"/>
          <w:kern w:val="0"/>
          <w:sz w:val="24"/>
          <w:szCs w:val="24"/>
          <w:lang w:eastAsia="pt-BR"/>
          <w14:ligatures w14:val="none"/>
        </w:rPr>
        <w:t>.</w:t>
      </w:r>
      <w:r w:rsidRPr="00964AAA">
        <w:rPr>
          <w:rFonts w:ascii="Arial" w:eastAsia="Times New Roman" w:hAnsi="Arial" w:cs="Arial"/>
          <w:b/>
          <w:i/>
          <w:color w:val="000099"/>
          <w:kern w:val="0"/>
          <w:sz w:val="20"/>
          <w:szCs w:val="20"/>
          <w:lang w:eastAsia="pt-BR"/>
          <w14:ligatures w14:val="none"/>
        </w:rPr>
        <w:t xml:space="preserve"> </w:t>
      </w:r>
    </w:p>
    <w:p w14:paraId="4A9CF734" w14:textId="22AF1141" w:rsidR="00964AAA" w:rsidRDefault="00DD0987" w:rsidP="006D1FFF">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ascii="Arial" w:eastAsia="Times New Roman" w:hAnsi="Arial" w:cs="Arial"/>
          <w:b/>
          <w:i/>
          <w:snapToGrid w:val="0"/>
          <w:color w:val="000099"/>
          <w:kern w:val="0"/>
          <w:sz w:val="20"/>
          <w:szCs w:val="20"/>
          <w:lang w:eastAsia="pt-BR"/>
          <w14:ligatures w14:val="none"/>
        </w:rPr>
      </w:pPr>
      <w:r w:rsidRPr="00DD0987">
        <w:rPr>
          <w:rFonts w:ascii="Arial" w:eastAsia="Times New Roman" w:hAnsi="Arial" w:cs="Arial"/>
          <w:kern w:val="0"/>
          <w:sz w:val="24"/>
          <w:szCs w:val="24"/>
          <w:lang w:eastAsia="pt-BR"/>
          <w14:ligatures w14:val="none"/>
        </w:rPr>
        <w:t xml:space="preserve">O ressarcimento da liberação pelo BNDES </w:t>
      </w:r>
      <w:r w:rsidR="006D1FFF">
        <w:rPr>
          <w:rFonts w:ascii="Arial" w:eastAsia="Times New Roman" w:hAnsi="Arial" w:cs="Arial"/>
          <w:kern w:val="0"/>
          <w:sz w:val="24"/>
          <w:szCs w:val="24"/>
          <w:lang w:eastAsia="pt-BR"/>
          <w14:ligatures w14:val="none"/>
        </w:rPr>
        <w:t>ao</w:t>
      </w:r>
      <w:r w:rsidRPr="00DD0987">
        <w:rPr>
          <w:rFonts w:ascii="Arial" w:eastAsia="Times New Roman" w:hAnsi="Arial" w:cs="Arial"/>
          <w:kern w:val="0"/>
          <w:sz w:val="24"/>
          <w:szCs w:val="24"/>
          <w:lang w:eastAsia="pt-BR"/>
          <w14:ligatures w14:val="none"/>
        </w:rPr>
        <w:t xml:space="preserve"> </w:t>
      </w:r>
      <w:r w:rsidR="006D1FFF">
        <w:rPr>
          <w:rFonts w:ascii="Arial" w:eastAsia="Times New Roman" w:hAnsi="Arial" w:cs="Arial"/>
          <w:kern w:val="0"/>
          <w:sz w:val="24"/>
          <w:szCs w:val="24"/>
          <w:lang w:eastAsia="pt-BR"/>
          <w14:ligatures w14:val="none"/>
        </w:rPr>
        <w:t>Agente Financeiro</w:t>
      </w:r>
      <w:r w:rsidRPr="00DD0987">
        <w:rPr>
          <w:rFonts w:ascii="Arial" w:eastAsia="Times New Roman" w:hAnsi="Arial" w:cs="Arial"/>
          <w:kern w:val="0"/>
          <w:sz w:val="24"/>
          <w:szCs w:val="24"/>
          <w:lang w:eastAsia="pt-BR"/>
          <w14:ligatures w14:val="none"/>
        </w:rPr>
        <w:t xml:space="preserve"> ocorrerá até o dia útil posterior à data da contratação</w:t>
      </w:r>
      <w:r w:rsidR="006D1FFF">
        <w:rPr>
          <w:rFonts w:ascii="Arial" w:eastAsia="Times New Roman" w:hAnsi="Arial" w:cs="Arial"/>
          <w:kern w:val="0"/>
          <w:sz w:val="24"/>
          <w:szCs w:val="24"/>
          <w:lang w:eastAsia="pt-BR"/>
          <w14:ligatures w14:val="none"/>
        </w:rPr>
        <w:t xml:space="preserve"> da operação</w:t>
      </w:r>
      <w:r w:rsidR="006D1FFF" w:rsidRPr="006D1FFF">
        <w:rPr>
          <w:rFonts w:ascii="Arial" w:eastAsia="Times New Roman" w:hAnsi="Arial" w:cs="Arial"/>
          <w:kern w:val="0"/>
          <w:sz w:val="24"/>
          <w:szCs w:val="24"/>
          <w:lang w:eastAsia="pt-BR"/>
          <w14:ligatures w14:val="none"/>
        </w:rPr>
        <w:t xml:space="preserve"> </w:t>
      </w:r>
      <w:r w:rsidR="006D1FFF">
        <w:rPr>
          <w:rFonts w:ascii="Arial" w:eastAsia="Times New Roman" w:hAnsi="Arial" w:cs="Arial"/>
          <w:kern w:val="0"/>
          <w:sz w:val="24"/>
          <w:szCs w:val="24"/>
          <w:lang w:eastAsia="pt-BR"/>
          <w14:ligatures w14:val="none"/>
        </w:rPr>
        <w:t>entre o Agente Financeiro e</w:t>
      </w:r>
      <w:r w:rsidR="006D1FFF" w:rsidRPr="00964AAA">
        <w:rPr>
          <w:rFonts w:ascii="Arial" w:eastAsia="Times New Roman" w:hAnsi="Arial" w:cs="Arial"/>
          <w:kern w:val="0"/>
          <w:sz w:val="24"/>
          <w:szCs w:val="24"/>
          <w:lang w:eastAsia="pt-BR"/>
          <w14:ligatures w14:val="none"/>
        </w:rPr>
        <w:t xml:space="preserve"> o Cliente </w:t>
      </w:r>
      <w:r w:rsidR="006D1FFF">
        <w:rPr>
          <w:rFonts w:ascii="Arial" w:eastAsia="Times New Roman" w:hAnsi="Arial" w:cs="Arial"/>
          <w:kern w:val="0"/>
          <w:sz w:val="24"/>
          <w:szCs w:val="24"/>
          <w:lang w:eastAsia="pt-BR"/>
          <w14:ligatures w14:val="none"/>
        </w:rPr>
        <w:t>Final</w:t>
      </w:r>
      <w:r w:rsidRPr="00DD0987">
        <w:rPr>
          <w:rFonts w:ascii="Arial" w:eastAsia="Times New Roman" w:hAnsi="Arial" w:cs="Arial"/>
          <w:kern w:val="0"/>
          <w:sz w:val="24"/>
          <w:szCs w:val="24"/>
          <w:lang w:eastAsia="pt-BR"/>
          <w14:ligatures w14:val="none"/>
        </w:rPr>
        <w:t>.</w:t>
      </w:r>
    </w:p>
    <w:p w14:paraId="355FD613" w14:textId="08643C3A" w:rsidR="008B44CC" w:rsidRPr="00E85D0B" w:rsidRDefault="008B44CC" w:rsidP="00E85D0B">
      <w:pPr>
        <w:numPr>
          <w:ilvl w:val="0"/>
          <w:numId w:val="3"/>
        </w:numPr>
        <w:tabs>
          <w:tab w:val="left" w:pos="2268"/>
        </w:tabs>
        <w:overflowPunct w:val="0"/>
        <w:autoSpaceDE w:val="0"/>
        <w:autoSpaceDN w:val="0"/>
        <w:adjustRightInd w:val="0"/>
        <w:spacing w:before="120" w:after="120" w:line="240" w:lineRule="auto"/>
        <w:ind w:left="2268" w:hanging="425"/>
        <w:jc w:val="both"/>
        <w:textAlignment w:val="baseline"/>
        <w:rPr>
          <w:rFonts w:cs="Arial"/>
          <w:sz w:val="24"/>
          <w:szCs w:val="24"/>
        </w:rPr>
      </w:pPr>
      <w:r w:rsidRPr="008B44CC">
        <w:rPr>
          <w:rFonts w:ascii="Arial" w:eastAsia="Times New Roman" w:hAnsi="Arial" w:cs="Arial"/>
          <w:kern w:val="0"/>
          <w:sz w:val="24"/>
          <w:szCs w:val="24"/>
          <w:lang w:eastAsia="pt-BR"/>
          <w14:ligatures w14:val="none"/>
        </w:rPr>
        <w:t xml:space="preserve">Sistemática de Cálculo da </w:t>
      </w:r>
      <w:r w:rsidR="00B16020">
        <w:rPr>
          <w:rFonts w:ascii="Arial" w:eastAsia="Times New Roman" w:hAnsi="Arial" w:cs="Arial"/>
          <w:kern w:val="0"/>
          <w:sz w:val="24"/>
          <w:szCs w:val="24"/>
          <w:lang w:eastAsia="pt-BR"/>
          <w14:ligatures w14:val="none"/>
        </w:rPr>
        <w:t>TFB</w:t>
      </w:r>
      <w:r w:rsidR="00942B66" w:rsidRPr="00E1035C">
        <w:rPr>
          <w:rFonts w:ascii="Arial" w:eastAsia="Times New Roman" w:hAnsi="Arial" w:cs="Arial"/>
          <w:kern w:val="0"/>
          <w:sz w:val="24"/>
          <w:szCs w:val="24"/>
          <w:vertAlign w:val="superscript"/>
          <w:lang w:eastAsia="pt-BR"/>
          <w14:ligatures w14:val="none"/>
        </w:rPr>
        <w:t>DIG</w:t>
      </w:r>
      <w:r w:rsidRPr="008B44CC">
        <w:rPr>
          <w:rFonts w:ascii="Arial" w:eastAsia="Times New Roman" w:hAnsi="Arial" w:cs="Arial"/>
          <w:kern w:val="0"/>
          <w:sz w:val="24"/>
          <w:szCs w:val="24"/>
          <w:lang w:eastAsia="pt-BR"/>
          <w14:ligatures w14:val="none"/>
        </w:rPr>
        <w:t>: os juros devidos pelo Cliente Final deverão ser calculados e exigidos segundo a seguinte fórmula:</w:t>
      </w:r>
    </w:p>
    <w:p w14:paraId="38A4607C" w14:textId="31359DF1" w:rsidR="008B44CC" w:rsidRPr="00517536" w:rsidRDefault="008B44CC" w:rsidP="00E85D0B">
      <w:pPr>
        <w:spacing w:before="120" w:after="120"/>
        <w:ind w:left="2835"/>
        <w:jc w:val="both"/>
        <w:rPr>
          <w:rFonts w:ascii="Arial" w:hAnsi="Arial" w:cs="Arial"/>
          <w:sz w:val="24"/>
          <w:szCs w:val="24"/>
          <w:lang w:val="en-US"/>
        </w:rPr>
      </w:pPr>
      <w:proofErr w:type="gramStart"/>
      <w:r w:rsidRPr="00517536">
        <w:rPr>
          <w:rFonts w:ascii="Arial" w:hAnsi="Arial" w:cs="Arial"/>
          <w:sz w:val="24"/>
          <w:szCs w:val="24"/>
          <w:lang w:val="en-US"/>
        </w:rPr>
        <w:t>J</w:t>
      </w:r>
      <w:r w:rsidRPr="00517536">
        <w:rPr>
          <w:rFonts w:ascii="Arial" w:hAnsi="Arial" w:cs="Arial"/>
          <w:sz w:val="24"/>
          <w:szCs w:val="24"/>
          <w:vertAlign w:val="subscript"/>
          <w:lang w:val="en-US"/>
        </w:rPr>
        <w:t xml:space="preserve">n  </w:t>
      </w:r>
      <w:r w:rsidRPr="00517536">
        <w:rPr>
          <w:rFonts w:ascii="Arial" w:hAnsi="Arial" w:cs="Arial"/>
          <w:sz w:val="24"/>
          <w:szCs w:val="24"/>
          <w:lang w:val="en-US"/>
        </w:rPr>
        <w:t>=</w:t>
      </w:r>
      <w:proofErr w:type="gramEnd"/>
      <w:r w:rsidRPr="00517536">
        <w:rPr>
          <w:rFonts w:ascii="Arial" w:hAnsi="Arial" w:cs="Arial"/>
          <w:sz w:val="24"/>
          <w:szCs w:val="24"/>
          <w:lang w:val="en-US"/>
        </w:rPr>
        <w:t> SD</w:t>
      </w:r>
      <w:r w:rsidRPr="00517536">
        <w:rPr>
          <w:rFonts w:ascii="Arial" w:hAnsi="Arial" w:cs="Arial"/>
          <w:sz w:val="24"/>
          <w:szCs w:val="24"/>
          <w:vertAlign w:val="subscript"/>
          <w:lang w:val="en-US"/>
        </w:rPr>
        <w:t>n-1</w:t>
      </w:r>
      <w:r w:rsidRPr="00517536">
        <w:rPr>
          <w:rFonts w:ascii="Arial" w:hAnsi="Arial" w:cs="Arial"/>
          <w:sz w:val="24"/>
          <w:szCs w:val="24"/>
          <w:lang w:val="en-US"/>
        </w:rPr>
        <w:t xml:space="preserve"> • </w:t>
      </w:r>
      <m:oMath>
        <m:d>
          <m:dPr>
            <m:begChr m:val="{"/>
            <m:endChr m:val="}"/>
            <m:ctrlPr>
              <w:rPr>
                <w:rFonts w:ascii="Cambria Math" w:hAnsi="Cambria Math" w:cs="Arial"/>
                <w:i/>
                <w:sz w:val="24"/>
                <w:szCs w:val="24"/>
              </w:rPr>
            </m:ctrlPr>
          </m:dPr>
          <m:e>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lang w:val="en-US"/>
                      </w:rPr>
                      <m:t>1+Taxa de Juros</m:t>
                    </m:r>
                  </m:e>
                </m:d>
              </m:e>
              <m:sup>
                <m:f>
                  <m:fPr>
                    <m:ctrlPr>
                      <w:rPr>
                        <w:rFonts w:ascii="Cambria Math" w:hAnsi="Cambria Math" w:cs="Arial"/>
                        <w:sz w:val="24"/>
                        <w:szCs w:val="24"/>
                      </w:rPr>
                    </m:ctrlPr>
                  </m:fPr>
                  <m:num>
                    <m:r>
                      <m:rPr>
                        <m:sty m:val="p"/>
                      </m:rPr>
                      <w:rPr>
                        <w:rFonts w:ascii="Cambria Math" w:hAnsi="Cambria Math" w:cs="Arial"/>
                        <w:sz w:val="24"/>
                        <w:szCs w:val="24"/>
                        <w:lang w:val="en-US"/>
                      </w:rPr>
                      <m:t>N</m:t>
                    </m:r>
                  </m:num>
                  <m:den>
                    <m:r>
                      <m:rPr>
                        <m:sty m:val="p"/>
                      </m:rPr>
                      <w:rPr>
                        <w:rFonts w:ascii="Cambria Math" w:hAnsi="Cambria Math" w:cs="Arial"/>
                        <w:sz w:val="24"/>
                        <w:szCs w:val="24"/>
                        <w:lang w:val="en-US"/>
                      </w:rPr>
                      <m:t>y</m:t>
                    </m:r>
                  </m:den>
                </m:f>
              </m:sup>
            </m:sSup>
            <m:r>
              <m:rPr>
                <m:sty m:val="p"/>
              </m:rPr>
              <w:rPr>
                <w:rFonts w:ascii="Cambria Math" w:hAnsi="Cambria Math" w:cs="Arial"/>
                <w:sz w:val="24"/>
                <w:szCs w:val="24"/>
                <w:lang w:val="en-US"/>
              </w:rPr>
              <m:t>-1</m:t>
            </m:r>
          </m:e>
        </m:d>
      </m:oMath>
    </w:p>
    <w:p w14:paraId="151636C3" w14:textId="77777777" w:rsidR="008B44CC" w:rsidRPr="00E85D0B" w:rsidRDefault="008B44CC" w:rsidP="00E85D0B">
      <w:pPr>
        <w:spacing w:after="120"/>
        <w:ind w:left="2835"/>
        <w:jc w:val="both"/>
        <w:rPr>
          <w:rFonts w:ascii="Arial" w:hAnsi="Arial" w:cs="Arial"/>
          <w:b/>
          <w:sz w:val="24"/>
          <w:szCs w:val="24"/>
        </w:rPr>
      </w:pPr>
      <w:r w:rsidRPr="00E85D0B">
        <w:rPr>
          <w:rFonts w:ascii="Arial" w:hAnsi="Arial" w:cs="Arial"/>
          <w:b/>
          <w:sz w:val="24"/>
          <w:szCs w:val="24"/>
        </w:rPr>
        <w:t>onde:</w:t>
      </w:r>
    </w:p>
    <w:p w14:paraId="103F95C8" w14:textId="77777777" w:rsidR="008B44CC" w:rsidRPr="00E85D0B" w:rsidRDefault="008B44CC" w:rsidP="00E85D0B">
      <w:pPr>
        <w:spacing w:after="120"/>
        <w:ind w:left="2835"/>
        <w:jc w:val="both"/>
        <w:rPr>
          <w:rFonts w:ascii="Arial" w:hAnsi="Arial" w:cs="Arial"/>
          <w:sz w:val="24"/>
          <w:szCs w:val="24"/>
        </w:rPr>
      </w:pPr>
      <w:proofErr w:type="spellStart"/>
      <w:proofErr w:type="gramStart"/>
      <w:r w:rsidRPr="00E85D0B">
        <w:rPr>
          <w:rFonts w:ascii="Arial" w:hAnsi="Arial" w:cs="Arial"/>
          <w:sz w:val="24"/>
          <w:szCs w:val="24"/>
        </w:rPr>
        <w:t>J</w:t>
      </w:r>
      <w:r w:rsidRPr="00E85D0B">
        <w:rPr>
          <w:rFonts w:ascii="Arial" w:hAnsi="Arial" w:cs="Arial"/>
          <w:sz w:val="24"/>
          <w:szCs w:val="24"/>
          <w:vertAlign w:val="subscript"/>
        </w:rPr>
        <w:t>n</w:t>
      </w:r>
      <w:proofErr w:type="spellEnd"/>
      <w:r w:rsidRPr="00E85D0B">
        <w:rPr>
          <w:rFonts w:ascii="Arial" w:hAnsi="Arial" w:cs="Arial"/>
          <w:sz w:val="24"/>
          <w:szCs w:val="24"/>
          <w:vertAlign w:val="subscript"/>
        </w:rPr>
        <w:t xml:space="preserve"> </w:t>
      </w:r>
      <w:r w:rsidRPr="00E85D0B">
        <w:rPr>
          <w:rFonts w:ascii="Arial" w:hAnsi="Arial" w:cs="Arial"/>
          <w:sz w:val="24"/>
          <w:szCs w:val="24"/>
        </w:rPr>
        <w:t>:</w:t>
      </w:r>
      <w:proofErr w:type="gramEnd"/>
      <w:r w:rsidRPr="00E85D0B">
        <w:rPr>
          <w:rFonts w:ascii="Arial" w:hAnsi="Arial" w:cs="Arial"/>
          <w:sz w:val="24"/>
          <w:szCs w:val="24"/>
        </w:rPr>
        <w:tab/>
        <w:t>Juros devidos pelo Cliente Final, em R$, no  momento “n”;</w:t>
      </w:r>
    </w:p>
    <w:p w14:paraId="7261E34F" w14:textId="77777777" w:rsidR="008B44CC" w:rsidRPr="00E85D0B" w:rsidRDefault="008B44CC" w:rsidP="00E85D0B">
      <w:pPr>
        <w:spacing w:after="120"/>
        <w:ind w:left="2835"/>
        <w:jc w:val="both"/>
        <w:rPr>
          <w:rFonts w:ascii="Arial" w:hAnsi="Arial" w:cs="Arial"/>
          <w:sz w:val="24"/>
          <w:szCs w:val="24"/>
        </w:rPr>
      </w:pPr>
      <w:r w:rsidRPr="00E85D0B">
        <w:rPr>
          <w:rFonts w:ascii="Arial" w:hAnsi="Arial" w:cs="Arial"/>
          <w:sz w:val="24"/>
          <w:szCs w:val="24"/>
        </w:rPr>
        <w:t>SD</w:t>
      </w:r>
      <w:r w:rsidRPr="00E85D0B">
        <w:rPr>
          <w:rFonts w:ascii="Arial" w:hAnsi="Arial" w:cs="Arial"/>
          <w:sz w:val="24"/>
          <w:szCs w:val="24"/>
          <w:vertAlign w:val="subscript"/>
        </w:rPr>
        <w:t>n-1</w:t>
      </w:r>
      <w:r w:rsidRPr="00E85D0B">
        <w:rPr>
          <w:rFonts w:ascii="Arial" w:hAnsi="Arial" w:cs="Arial"/>
          <w:sz w:val="24"/>
          <w:szCs w:val="24"/>
        </w:rPr>
        <w:t>:</w:t>
      </w:r>
      <w:r w:rsidRPr="00E85D0B">
        <w:rPr>
          <w:rFonts w:ascii="Arial" w:hAnsi="Arial" w:cs="Arial"/>
          <w:sz w:val="24"/>
          <w:szCs w:val="24"/>
        </w:rPr>
        <w:tab/>
        <w:t xml:space="preserve"> Saldo Devedor, em R$, no momento “n-1”;</w:t>
      </w:r>
    </w:p>
    <w:p w14:paraId="305A3CBF" w14:textId="77777777" w:rsidR="008B44CC" w:rsidRPr="00E85D0B" w:rsidRDefault="008B44CC" w:rsidP="00E85D0B">
      <w:pPr>
        <w:spacing w:after="120"/>
        <w:ind w:left="2835"/>
        <w:jc w:val="both"/>
        <w:rPr>
          <w:rFonts w:ascii="Arial" w:hAnsi="Arial" w:cs="Arial"/>
          <w:b/>
          <w:i/>
          <w:snapToGrid w:val="0"/>
          <w:color w:val="000099"/>
          <w:sz w:val="24"/>
          <w:szCs w:val="24"/>
        </w:rPr>
      </w:pPr>
      <w:r w:rsidRPr="00E85D0B">
        <w:rPr>
          <w:rFonts w:ascii="Arial" w:hAnsi="Arial" w:cs="Arial"/>
          <w:sz w:val="24"/>
          <w:szCs w:val="24"/>
        </w:rPr>
        <w:t xml:space="preserve">N:  Número de dias existentes entre a data de cada evento financeiro e a data de vencimento ou liquidação da obrigação, considerando-se como evento financeiro todo e qualquer fato de natureza financeira do qual possa resultar alteração do saldo devedor do contrato; </w:t>
      </w:r>
    </w:p>
    <w:p w14:paraId="10D9265C" w14:textId="77777777" w:rsidR="008B44CC" w:rsidRPr="00E85D0B" w:rsidRDefault="008B44CC" w:rsidP="00E85D0B">
      <w:pPr>
        <w:spacing w:after="120"/>
        <w:ind w:left="2835"/>
        <w:jc w:val="both"/>
        <w:rPr>
          <w:rFonts w:ascii="Arial" w:hAnsi="Arial" w:cs="Arial"/>
          <w:b/>
          <w:i/>
          <w:snapToGrid w:val="0"/>
          <w:color w:val="000099"/>
          <w:sz w:val="24"/>
          <w:szCs w:val="24"/>
        </w:rPr>
      </w:pPr>
      <w:r w:rsidRPr="00E85D0B">
        <w:rPr>
          <w:rFonts w:ascii="Arial" w:hAnsi="Arial" w:cs="Arial"/>
          <w:sz w:val="24"/>
          <w:szCs w:val="24"/>
        </w:rPr>
        <w:t xml:space="preserve">Y: Quantidade de dias no ano civil, podendo ser 365 ou 366, conforme o caso; e </w:t>
      </w:r>
    </w:p>
    <w:p w14:paraId="75A14905" w14:textId="0867222A" w:rsidR="008B44CC" w:rsidRPr="00E85D0B" w:rsidRDefault="008B44CC" w:rsidP="00E85D0B">
      <w:pPr>
        <w:spacing w:before="120" w:after="120"/>
        <w:ind w:left="2835"/>
        <w:jc w:val="both"/>
        <w:rPr>
          <w:rFonts w:ascii="Arial" w:hAnsi="Arial" w:cs="Arial"/>
          <w:b/>
          <w:i/>
          <w:snapToGrid w:val="0"/>
          <w:color w:val="000099"/>
          <w:sz w:val="24"/>
          <w:szCs w:val="24"/>
        </w:rPr>
      </w:pPr>
      <w:r w:rsidRPr="00E85D0B">
        <w:rPr>
          <w:rFonts w:ascii="Arial" w:hAnsi="Arial" w:cs="Arial"/>
          <w:sz w:val="24"/>
          <w:szCs w:val="24"/>
        </w:rPr>
        <w:t xml:space="preserve">Taxa de Juros: é o produto do Custo Financeiro </w:t>
      </w:r>
      <w:r w:rsidR="00AB0DEF">
        <w:rPr>
          <w:rFonts w:ascii="Arial" w:hAnsi="Arial" w:cs="Arial"/>
          <w:sz w:val="24"/>
          <w:szCs w:val="24"/>
        </w:rPr>
        <w:t>TFB</w:t>
      </w:r>
      <w:r w:rsidR="00942B66" w:rsidRPr="00E1035C">
        <w:rPr>
          <w:rFonts w:ascii="Arial" w:hAnsi="Arial" w:cs="Arial"/>
          <w:sz w:val="24"/>
          <w:szCs w:val="24"/>
          <w:vertAlign w:val="superscript"/>
        </w:rPr>
        <w:t>DIG</w:t>
      </w:r>
      <w:r w:rsidRPr="00E85D0B">
        <w:rPr>
          <w:rFonts w:ascii="Arial" w:hAnsi="Arial" w:cs="Arial"/>
          <w:sz w:val="24"/>
          <w:szCs w:val="24"/>
        </w:rPr>
        <w:t>, da Remuneração do BNDES e da Remuneração d</w:t>
      </w:r>
      <w:r w:rsidR="00092420">
        <w:rPr>
          <w:rFonts w:ascii="Arial" w:hAnsi="Arial" w:cs="Arial"/>
          <w:sz w:val="24"/>
          <w:szCs w:val="24"/>
        </w:rPr>
        <w:t>o</w:t>
      </w:r>
      <w:r w:rsidRPr="00E85D0B">
        <w:rPr>
          <w:rFonts w:ascii="Arial" w:hAnsi="Arial" w:cs="Arial"/>
          <w:sz w:val="24"/>
          <w:szCs w:val="24"/>
        </w:rPr>
        <w:t xml:space="preserve"> </w:t>
      </w:r>
      <w:r w:rsidR="00092420">
        <w:rPr>
          <w:rFonts w:ascii="Arial" w:hAnsi="Arial" w:cs="Arial"/>
          <w:sz w:val="24"/>
          <w:szCs w:val="24"/>
        </w:rPr>
        <w:t>Agente</w:t>
      </w:r>
      <w:r w:rsidRPr="00E85D0B">
        <w:rPr>
          <w:rFonts w:ascii="Arial" w:hAnsi="Arial" w:cs="Arial"/>
          <w:sz w:val="24"/>
          <w:szCs w:val="24"/>
        </w:rPr>
        <w:t xml:space="preserve"> Financeir</w:t>
      </w:r>
      <w:r w:rsidR="00092420">
        <w:rPr>
          <w:rFonts w:ascii="Arial" w:hAnsi="Arial" w:cs="Arial"/>
          <w:sz w:val="24"/>
          <w:szCs w:val="24"/>
        </w:rPr>
        <w:t>o</w:t>
      </w:r>
      <w:r w:rsidRPr="00E85D0B">
        <w:rPr>
          <w:rFonts w:ascii="Arial" w:hAnsi="Arial" w:cs="Arial"/>
          <w:sz w:val="24"/>
          <w:szCs w:val="24"/>
        </w:rPr>
        <w:t xml:space="preserve"> Credenciad</w:t>
      </w:r>
      <w:r w:rsidR="00092420">
        <w:rPr>
          <w:rFonts w:ascii="Arial" w:hAnsi="Arial" w:cs="Arial"/>
          <w:sz w:val="24"/>
          <w:szCs w:val="24"/>
        </w:rPr>
        <w:t>o</w:t>
      </w:r>
      <w:r w:rsidRPr="00E85D0B">
        <w:rPr>
          <w:rFonts w:ascii="Arial" w:hAnsi="Arial" w:cs="Arial"/>
          <w:sz w:val="24"/>
          <w:szCs w:val="24"/>
        </w:rPr>
        <w:t xml:space="preserve">. </w:t>
      </w:r>
    </w:p>
    <w:p w14:paraId="02C45252" w14:textId="1A20BBD1" w:rsidR="00964AAA" w:rsidRPr="00964AAA" w:rsidRDefault="00964AAA" w:rsidP="002864C2">
      <w:pPr>
        <w:keepNext/>
        <w:numPr>
          <w:ilvl w:val="4"/>
          <w:numId w:val="2"/>
        </w:numPr>
        <w:tabs>
          <w:tab w:val="num" w:pos="2835"/>
        </w:tabs>
        <w:spacing w:before="120" w:after="120" w:line="240" w:lineRule="auto"/>
        <w:ind w:left="2835" w:hanging="992"/>
        <w:jc w:val="both"/>
        <w:rPr>
          <w:rFonts w:ascii="Arial" w:eastAsia="Times New Roman" w:hAnsi="Arial" w:cs="Times New Roman"/>
          <w:b/>
          <w:bCs/>
          <w:kern w:val="0"/>
          <w:sz w:val="24"/>
          <w:szCs w:val="20"/>
          <w:lang w:eastAsia="pt-BR"/>
          <w14:ligatures w14:val="none"/>
        </w:rPr>
      </w:pPr>
      <w:bookmarkStart w:id="5" w:name="_Ref468284110"/>
      <w:r w:rsidRPr="00964AAA">
        <w:rPr>
          <w:rFonts w:ascii="Arial" w:eastAsia="Times New Roman" w:hAnsi="Arial" w:cs="Times New Roman"/>
          <w:b/>
          <w:bCs/>
          <w:kern w:val="0"/>
          <w:sz w:val="24"/>
          <w:szCs w:val="20"/>
          <w:lang w:eastAsia="pt-BR"/>
          <w14:ligatures w14:val="none"/>
        </w:rPr>
        <w:t>Remuneração d</w:t>
      </w:r>
      <w:r w:rsidR="00092420">
        <w:rPr>
          <w:rFonts w:ascii="Arial" w:eastAsia="Times New Roman" w:hAnsi="Arial" w:cs="Times New Roman"/>
          <w:b/>
          <w:bCs/>
          <w:kern w:val="0"/>
          <w:sz w:val="24"/>
          <w:szCs w:val="20"/>
          <w:lang w:eastAsia="pt-BR"/>
          <w14:ligatures w14:val="none"/>
        </w:rPr>
        <w:t>o</w:t>
      </w:r>
      <w:r w:rsidRPr="00964AAA">
        <w:rPr>
          <w:rFonts w:ascii="Arial" w:eastAsia="Times New Roman" w:hAnsi="Arial" w:cs="Times New Roman"/>
          <w:b/>
          <w:bCs/>
          <w:kern w:val="0"/>
          <w:sz w:val="24"/>
          <w:szCs w:val="20"/>
          <w:lang w:eastAsia="pt-BR"/>
          <w14:ligatures w14:val="none"/>
        </w:rPr>
        <w:t xml:space="preserve"> </w:t>
      </w:r>
      <w:bookmarkEnd w:id="5"/>
      <w:r w:rsidR="00092420">
        <w:rPr>
          <w:rFonts w:ascii="Arial" w:eastAsia="Times New Roman" w:hAnsi="Arial" w:cs="Times New Roman"/>
          <w:b/>
          <w:bCs/>
          <w:kern w:val="0"/>
          <w:sz w:val="24"/>
          <w:szCs w:val="20"/>
          <w:lang w:eastAsia="pt-BR"/>
          <w14:ligatures w14:val="none"/>
        </w:rPr>
        <w:t>Agente</w:t>
      </w:r>
      <w:r w:rsidR="00092420" w:rsidRPr="00964AAA">
        <w:rPr>
          <w:rFonts w:ascii="Arial" w:eastAsia="Times New Roman" w:hAnsi="Arial" w:cs="Times New Roman"/>
          <w:b/>
          <w:bCs/>
          <w:kern w:val="0"/>
          <w:sz w:val="24"/>
          <w:szCs w:val="20"/>
          <w:lang w:eastAsia="pt-BR"/>
          <w14:ligatures w14:val="none"/>
        </w:rPr>
        <w:t xml:space="preserve"> </w:t>
      </w:r>
      <w:r w:rsidRPr="00964AAA">
        <w:rPr>
          <w:rFonts w:ascii="Arial" w:eastAsia="Times New Roman" w:hAnsi="Arial" w:cs="Times New Roman"/>
          <w:b/>
          <w:bCs/>
          <w:kern w:val="0"/>
          <w:sz w:val="24"/>
          <w:szCs w:val="20"/>
          <w:lang w:eastAsia="pt-BR"/>
          <w14:ligatures w14:val="none"/>
        </w:rPr>
        <w:t>Financeir</w:t>
      </w:r>
      <w:r w:rsidR="00092420">
        <w:rPr>
          <w:rFonts w:ascii="Arial" w:eastAsia="Times New Roman" w:hAnsi="Arial" w:cs="Times New Roman"/>
          <w:b/>
          <w:bCs/>
          <w:kern w:val="0"/>
          <w:sz w:val="24"/>
          <w:szCs w:val="20"/>
          <w:lang w:eastAsia="pt-BR"/>
          <w14:ligatures w14:val="none"/>
        </w:rPr>
        <w:t>o</w:t>
      </w:r>
      <w:r w:rsidRPr="00964AAA">
        <w:rPr>
          <w:rFonts w:ascii="Arial" w:eastAsia="Times New Roman" w:hAnsi="Arial" w:cs="Times New Roman"/>
          <w:b/>
          <w:bCs/>
          <w:kern w:val="0"/>
          <w:sz w:val="24"/>
          <w:szCs w:val="20"/>
          <w:lang w:eastAsia="pt-BR"/>
          <w14:ligatures w14:val="none"/>
        </w:rPr>
        <w:t xml:space="preserve"> Credenciad</w:t>
      </w:r>
      <w:r w:rsidR="00092420">
        <w:rPr>
          <w:rFonts w:ascii="Arial" w:eastAsia="Times New Roman" w:hAnsi="Arial" w:cs="Times New Roman"/>
          <w:b/>
          <w:bCs/>
          <w:kern w:val="0"/>
          <w:sz w:val="24"/>
          <w:szCs w:val="20"/>
          <w:lang w:eastAsia="pt-BR"/>
          <w14:ligatures w14:val="none"/>
        </w:rPr>
        <w:t>o</w:t>
      </w:r>
    </w:p>
    <w:p w14:paraId="4096D1C1" w14:textId="773FC128" w:rsidR="00964AAA" w:rsidRPr="00964AAA" w:rsidRDefault="00964AAA" w:rsidP="00964AAA">
      <w:pPr>
        <w:tabs>
          <w:tab w:val="left" w:pos="2835"/>
        </w:tabs>
        <w:overflowPunct w:val="0"/>
        <w:autoSpaceDE w:val="0"/>
        <w:autoSpaceDN w:val="0"/>
        <w:adjustRightInd w:val="0"/>
        <w:spacing w:before="120" w:after="120" w:line="240" w:lineRule="auto"/>
        <w:ind w:left="2835"/>
        <w:jc w:val="both"/>
        <w:textAlignment w:val="baseline"/>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A </w:t>
      </w:r>
      <w:bookmarkStart w:id="6" w:name="_Hlk171956599"/>
      <w:r w:rsidRPr="00964AAA">
        <w:rPr>
          <w:rFonts w:ascii="Arial" w:eastAsia="Times New Roman" w:hAnsi="Arial" w:cs="Times New Roman"/>
          <w:bCs/>
          <w:kern w:val="0"/>
          <w:sz w:val="24"/>
          <w:szCs w:val="20"/>
          <w:lang w:eastAsia="pt-BR"/>
          <w14:ligatures w14:val="none"/>
        </w:rPr>
        <w:t>Remuneração d</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w:t>
      </w:r>
      <w:r w:rsidR="00092420">
        <w:rPr>
          <w:rFonts w:ascii="Arial" w:eastAsia="Times New Roman" w:hAnsi="Arial" w:cs="Times New Roman"/>
          <w:bCs/>
          <w:kern w:val="0"/>
          <w:sz w:val="24"/>
          <w:szCs w:val="20"/>
          <w:lang w:eastAsia="pt-BR"/>
          <w14:ligatures w14:val="none"/>
        </w:rPr>
        <w:t>Agente</w:t>
      </w:r>
      <w:r w:rsidR="00092420" w:rsidRPr="00964AAA">
        <w:rPr>
          <w:rFonts w:ascii="Arial" w:eastAsia="Times New Roman" w:hAnsi="Arial" w:cs="Times New Roman"/>
          <w:bCs/>
          <w:kern w:val="0"/>
          <w:sz w:val="24"/>
          <w:szCs w:val="20"/>
          <w:lang w:eastAsia="pt-BR"/>
          <w14:ligatures w14:val="none"/>
        </w:rPr>
        <w:t xml:space="preserve"> </w:t>
      </w:r>
      <w:r w:rsidRPr="00964AAA">
        <w:rPr>
          <w:rFonts w:ascii="Arial" w:eastAsia="Times New Roman" w:hAnsi="Arial" w:cs="Times New Roman"/>
          <w:bCs/>
          <w:kern w:val="0"/>
          <w:sz w:val="24"/>
          <w:szCs w:val="20"/>
          <w:lang w:eastAsia="pt-BR"/>
          <w14:ligatures w14:val="none"/>
        </w:rPr>
        <w:t>Financeir</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Credenciad</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w:t>
      </w:r>
      <w:bookmarkEnd w:id="6"/>
      <w:r w:rsidRPr="00964AAA">
        <w:rPr>
          <w:rFonts w:ascii="Arial" w:eastAsia="Times New Roman" w:hAnsi="Arial" w:cs="Times New Roman"/>
          <w:bCs/>
          <w:kern w:val="0"/>
          <w:sz w:val="24"/>
          <w:szCs w:val="20"/>
          <w:lang w:eastAsia="pt-BR"/>
          <w14:ligatures w14:val="none"/>
        </w:rPr>
        <w:t xml:space="preserve">deverá ser negociada entre </w:t>
      </w:r>
      <w:r w:rsidR="00092420">
        <w:rPr>
          <w:rFonts w:ascii="Arial" w:eastAsia="Times New Roman" w:hAnsi="Arial" w:cs="Times New Roman"/>
          <w:bCs/>
          <w:kern w:val="0"/>
          <w:sz w:val="24"/>
          <w:szCs w:val="20"/>
          <w:lang w:eastAsia="pt-BR"/>
          <w14:ligatures w14:val="none"/>
        </w:rPr>
        <w:t>o</w:t>
      </w:r>
      <w:r w:rsidRPr="00964AAA">
        <w:rPr>
          <w:rFonts w:ascii="Arial" w:eastAsia="Times New Roman" w:hAnsi="Arial" w:cs="Times New Roman"/>
          <w:bCs/>
          <w:kern w:val="0"/>
          <w:sz w:val="24"/>
          <w:szCs w:val="20"/>
          <w:lang w:eastAsia="pt-BR"/>
          <w14:ligatures w14:val="none"/>
        </w:rPr>
        <w:t xml:space="preserve"> </w:t>
      </w:r>
      <w:r w:rsidR="00092420">
        <w:rPr>
          <w:rFonts w:ascii="Arial" w:eastAsia="Times New Roman" w:hAnsi="Arial" w:cs="Times New Roman"/>
          <w:bCs/>
          <w:kern w:val="0"/>
          <w:sz w:val="24"/>
          <w:szCs w:val="20"/>
          <w:lang w:eastAsia="pt-BR"/>
          <w14:ligatures w14:val="none"/>
        </w:rPr>
        <w:t>Agente Financeiro</w:t>
      </w:r>
      <w:r w:rsidRPr="00964AAA">
        <w:rPr>
          <w:rFonts w:ascii="Arial" w:eastAsia="Times New Roman" w:hAnsi="Arial" w:cs="Times New Roman"/>
          <w:bCs/>
          <w:kern w:val="0"/>
          <w:sz w:val="24"/>
          <w:szCs w:val="20"/>
          <w:lang w:eastAsia="pt-BR"/>
          <w14:ligatures w14:val="none"/>
        </w:rPr>
        <w:t xml:space="preserve"> e o Cliente</w:t>
      </w:r>
      <w:r w:rsidR="00092420">
        <w:rPr>
          <w:rFonts w:ascii="Arial" w:eastAsia="Times New Roman" w:hAnsi="Arial" w:cs="Times New Roman"/>
          <w:bCs/>
          <w:kern w:val="0"/>
          <w:sz w:val="24"/>
          <w:szCs w:val="20"/>
          <w:lang w:eastAsia="pt-BR"/>
          <w14:ligatures w14:val="none"/>
        </w:rPr>
        <w:t xml:space="preserve"> Final</w:t>
      </w:r>
      <w:r w:rsidRPr="00964AAA">
        <w:rPr>
          <w:rFonts w:ascii="Arial" w:eastAsia="Times New Roman" w:hAnsi="Arial" w:cs="Times New Roman"/>
          <w:bCs/>
          <w:kern w:val="0"/>
          <w:sz w:val="24"/>
          <w:szCs w:val="20"/>
          <w:lang w:eastAsia="pt-BR"/>
          <w14:ligatures w14:val="none"/>
        </w:rPr>
        <w:t>, observada, nas operações contratadas com outorga de garantia de risco pelo Fundo Garantidor para Investimentos (FGI), a limitação prevista na regulamentação específica desse Fundo.</w:t>
      </w:r>
    </w:p>
    <w:p w14:paraId="74F9BB45" w14:textId="77777777" w:rsidR="00964AAA" w:rsidRPr="00964AAA" w:rsidRDefault="00964AAA" w:rsidP="00E85D0B">
      <w:pPr>
        <w:keepNext/>
        <w:numPr>
          <w:ilvl w:val="1"/>
          <w:numId w:val="2"/>
        </w:numPr>
        <w:tabs>
          <w:tab w:val="left" w:pos="1134"/>
        </w:tabs>
        <w:spacing w:before="120" w:after="120" w:line="240" w:lineRule="auto"/>
        <w:ind w:left="1134"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lastRenderedPageBreak/>
        <w:t>Prazos</w:t>
      </w:r>
    </w:p>
    <w:p w14:paraId="2B9234F6" w14:textId="439EAEDE" w:rsidR="00964AAA" w:rsidRDefault="00964AAA" w:rsidP="008B44CC">
      <w:pPr>
        <w:tabs>
          <w:tab w:val="num" w:pos="1843"/>
        </w:tabs>
        <w:spacing w:before="120" w:after="120" w:line="240" w:lineRule="auto"/>
        <w:ind w:left="1134"/>
        <w:jc w:val="both"/>
        <w:rPr>
          <w:rFonts w:ascii="Arial" w:eastAsia="Times New Roman" w:hAnsi="Arial" w:cs="Times New Roman"/>
          <w:kern w:val="0"/>
          <w:sz w:val="24"/>
          <w:szCs w:val="20"/>
          <w:lang w:eastAsia="pt-BR"/>
          <w14:ligatures w14:val="none"/>
        </w:rPr>
      </w:pPr>
      <w:r w:rsidRPr="00964AAA">
        <w:rPr>
          <w:rFonts w:ascii="Arial" w:eastAsia="Times New Roman" w:hAnsi="Arial" w:cs="Times New Roman"/>
          <w:kern w:val="0"/>
          <w:sz w:val="24"/>
          <w:szCs w:val="20"/>
          <w:lang w:eastAsia="pt-BR"/>
          <w14:ligatures w14:val="none"/>
        </w:rPr>
        <w:t>Os prazos de carência e total das operações serão definidos pel</w:t>
      </w:r>
      <w:r w:rsidR="008B44CC">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w:t>
      </w:r>
      <w:r w:rsidR="008B44CC">
        <w:rPr>
          <w:rFonts w:ascii="Arial" w:eastAsia="Times New Roman" w:hAnsi="Arial" w:cs="Times New Roman"/>
          <w:kern w:val="0"/>
          <w:sz w:val="24"/>
          <w:szCs w:val="20"/>
          <w:lang w:eastAsia="pt-BR"/>
          <w14:ligatures w14:val="none"/>
        </w:rPr>
        <w:t>Agente</w:t>
      </w:r>
      <w:r w:rsidR="008B44CC" w:rsidRPr="00964AAA">
        <w:rPr>
          <w:rFonts w:ascii="Arial" w:eastAsia="Times New Roman" w:hAnsi="Arial" w:cs="Times New Roman"/>
          <w:kern w:val="0"/>
          <w:sz w:val="24"/>
          <w:szCs w:val="20"/>
          <w:lang w:eastAsia="pt-BR"/>
          <w14:ligatures w14:val="none"/>
        </w:rPr>
        <w:t xml:space="preserve"> </w:t>
      </w:r>
      <w:r w:rsidRPr="00964AAA">
        <w:rPr>
          <w:rFonts w:ascii="Arial" w:eastAsia="Times New Roman" w:hAnsi="Arial" w:cs="Times New Roman"/>
          <w:kern w:val="0"/>
          <w:sz w:val="24"/>
          <w:szCs w:val="20"/>
          <w:lang w:eastAsia="pt-BR"/>
          <w14:ligatures w14:val="none"/>
        </w:rPr>
        <w:t>Financeir</w:t>
      </w:r>
      <w:r w:rsidR="008B44CC">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xml:space="preserve"> Credenciad</w:t>
      </w:r>
      <w:r w:rsidR="008B44CC">
        <w:rPr>
          <w:rFonts w:ascii="Arial" w:eastAsia="Times New Roman" w:hAnsi="Arial" w:cs="Times New Roman"/>
          <w:kern w:val="0"/>
          <w:sz w:val="24"/>
          <w:szCs w:val="20"/>
          <w:lang w:eastAsia="pt-BR"/>
          <w14:ligatures w14:val="none"/>
        </w:rPr>
        <w:t>o</w:t>
      </w:r>
      <w:r w:rsidRPr="00964AAA">
        <w:rPr>
          <w:rFonts w:ascii="Arial" w:eastAsia="Times New Roman" w:hAnsi="Arial" w:cs="Times New Roman"/>
          <w:kern w:val="0"/>
          <w:sz w:val="24"/>
          <w:szCs w:val="20"/>
          <w:lang w:eastAsia="pt-BR"/>
          <w14:ligatures w14:val="none"/>
        </w:rPr>
        <w:t>, conforme o estabelecido pelas Circulares dos Produtos e Programas.</w:t>
      </w:r>
    </w:p>
    <w:p w14:paraId="63D41F9A" w14:textId="77777777" w:rsidR="00964AAA" w:rsidRPr="00964AAA" w:rsidRDefault="00964AAA" w:rsidP="00D70793">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VENCIMENTO ANTECIPADO</w:t>
      </w:r>
    </w:p>
    <w:p w14:paraId="5BCD4F5B" w14:textId="733A206D" w:rsidR="00964AAA" w:rsidRPr="00964AAA" w:rsidRDefault="00964AAA" w:rsidP="00964AAA">
      <w:pPr>
        <w:numPr>
          <w:ilvl w:val="1"/>
          <w:numId w:val="2"/>
        </w:numPr>
        <w:tabs>
          <w:tab w:val="num" w:pos="3693"/>
        </w:tabs>
        <w:spacing w:before="120" w:after="120" w:line="240" w:lineRule="auto"/>
        <w:ind w:left="1134" w:hanging="567"/>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Ocorrerá o vencimento antecipado do contrato, com exigibilidade da dívida, nas seguintes </w:t>
      </w:r>
      <w:r w:rsidR="00186F6D">
        <w:rPr>
          <w:rFonts w:ascii="Arial" w:eastAsia="Times New Roman" w:hAnsi="Arial" w:cs="Times New Roman"/>
          <w:bCs/>
          <w:kern w:val="0"/>
          <w:sz w:val="24"/>
          <w:szCs w:val="20"/>
          <w:lang w:eastAsia="pt-BR"/>
          <w14:ligatures w14:val="none"/>
        </w:rPr>
        <w:t>circunstâncias</w:t>
      </w:r>
      <w:r w:rsidRPr="00964AAA">
        <w:rPr>
          <w:rFonts w:ascii="Arial" w:eastAsia="Times New Roman" w:hAnsi="Arial" w:cs="Times New Roman"/>
          <w:bCs/>
          <w:kern w:val="0"/>
          <w:sz w:val="24"/>
          <w:szCs w:val="20"/>
          <w:lang w:eastAsia="pt-BR"/>
          <w14:ligatures w14:val="none"/>
        </w:rPr>
        <w:t>, sem prejuízo das hipóteses previstas nos artigos 39 e 40 das "Disposições Aplicáveis aos Contratos do BNDES", bem como d</w:t>
      </w:r>
      <w:r w:rsidR="00123EA2">
        <w:rPr>
          <w:rFonts w:ascii="Arial" w:eastAsia="Times New Roman" w:hAnsi="Arial" w:cs="Times New Roman"/>
          <w:bCs/>
          <w:kern w:val="0"/>
          <w:sz w:val="24"/>
          <w:szCs w:val="20"/>
          <w:lang w:eastAsia="pt-BR"/>
          <w14:ligatures w14:val="none"/>
        </w:rPr>
        <w:t xml:space="preserve">as hipóteses mencionadas </w:t>
      </w:r>
      <w:r w:rsidR="00123EA2" w:rsidRPr="00FA1578">
        <w:rPr>
          <w:rFonts w:ascii="Arial" w:eastAsia="Times New Roman" w:hAnsi="Arial" w:cs="Times New Roman"/>
          <w:bCs/>
          <w:kern w:val="0"/>
          <w:sz w:val="24"/>
          <w:szCs w:val="20"/>
          <w:lang w:eastAsia="pt-BR"/>
          <w14:ligatures w14:val="none"/>
        </w:rPr>
        <w:t>n</w:t>
      </w:r>
      <w:r w:rsidRPr="00FA1578">
        <w:rPr>
          <w:rFonts w:ascii="Arial" w:eastAsia="Times New Roman" w:hAnsi="Arial" w:cs="Times New Roman"/>
          <w:bCs/>
          <w:kern w:val="0"/>
          <w:sz w:val="24"/>
          <w:szCs w:val="20"/>
          <w:lang w:eastAsia="pt-BR"/>
          <w14:ligatures w14:val="none"/>
        </w:rPr>
        <w:t xml:space="preserve">o </w:t>
      </w:r>
      <w:r w:rsidRPr="00517536">
        <w:rPr>
          <w:rFonts w:ascii="Arial" w:eastAsia="Times New Roman" w:hAnsi="Arial" w:cs="Times New Roman"/>
          <w:bCs/>
          <w:kern w:val="0"/>
          <w:sz w:val="24"/>
          <w:szCs w:val="20"/>
          <w:lang w:eastAsia="pt-BR"/>
          <w14:ligatures w14:val="none"/>
        </w:rPr>
        <w:t>Anexo I</w:t>
      </w:r>
      <w:r w:rsidR="00D70793" w:rsidRPr="00517536">
        <w:rPr>
          <w:rFonts w:ascii="Arial" w:eastAsia="Times New Roman" w:hAnsi="Arial" w:cs="Times New Roman"/>
          <w:bCs/>
          <w:kern w:val="0"/>
          <w:sz w:val="24"/>
          <w:szCs w:val="20"/>
          <w:lang w:eastAsia="pt-BR"/>
          <w14:ligatures w14:val="none"/>
        </w:rPr>
        <w:t>I</w:t>
      </w:r>
      <w:r w:rsidR="00186F6D">
        <w:rPr>
          <w:rFonts w:ascii="Arial" w:eastAsia="Times New Roman" w:hAnsi="Arial" w:cs="Times New Roman"/>
          <w:bCs/>
          <w:kern w:val="0"/>
          <w:sz w:val="24"/>
          <w:szCs w:val="20"/>
          <w:lang w:eastAsia="pt-BR"/>
          <w14:ligatures w14:val="none"/>
        </w:rPr>
        <w:t xml:space="preserve"> a esta Circular</w:t>
      </w:r>
      <w:r w:rsidRPr="00964AAA">
        <w:rPr>
          <w:rFonts w:ascii="Arial" w:eastAsia="Times New Roman" w:hAnsi="Arial" w:cs="Times New Roman"/>
          <w:bCs/>
          <w:kern w:val="0"/>
          <w:sz w:val="24"/>
          <w:szCs w:val="20"/>
          <w:lang w:eastAsia="pt-BR"/>
          <w14:ligatures w14:val="none"/>
        </w:rPr>
        <w:t>:</w:t>
      </w:r>
    </w:p>
    <w:p w14:paraId="6E6A2BED" w14:textId="577CBC86"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Arial"/>
          <w:kern w:val="0"/>
          <w:sz w:val="24"/>
          <w:szCs w:val="20"/>
          <w:lang w:eastAsia="pt-BR"/>
          <w14:ligatures w14:val="none"/>
        </w:rPr>
      </w:pPr>
      <w:r w:rsidRPr="00964AAA">
        <w:rPr>
          <w:rFonts w:ascii="Arial" w:eastAsia="Times New Roman" w:hAnsi="Arial" w:cs="Times New Roman"/>
          <w:bCs/>
          <w:kern w:val="0"/>
          <w:sz w:val="24"/>
          <w:szCs w:val="24"/>
          <w:lang w:eastAsia="pt-BR"/>
          <w14:ligatures w14:val="none"/>
        </w:rPr>
        <w:t xml:space="preserve">Constatar-se a existência de decisão administrativa final sancionadora, exarada por autoridade ou órgão competente, em razão da prática de atos, pelo Cliente Final, que importem em discriminação de raça ou gênero, exploração irregular, ilegal ou criminosa do trabalho infantil, prática relacionada ao trabalho em condições análogas à escravidão, e/ou de sentença condenatória transitada em julgado, proferida em decorrência dos referidos atos, ou ainda, de outros que caracterizem assédio moral ou sexual, ou importem em crime contra o meio ambiente ou proveito criminoso da prostituição. </w:t>
      </w:r>
    </w:p>
    <w:p w14:paraId="7A240314" w14:textId="17FAF85A" w:rsidR="00964AAA" w:rsidRPr="00964AAA" w:rsidRDefault="00964AAA" w:rsidP="00964AAA">
      <w:pPr>
        <w:numPr>
          <w:ilvl w:val="2"/>
          <w:numId w:val="2"/>
        </w:numPr>
        <w:tabs>
          <w:tab w:val="num" w:pos="1985"/>
        </w:tabs>
        <w:spacing w:before="120" w:after="120" w:line="240" w:lineRule="auto"/>
        <w:ind w:left="1985" w:hanging="851"/>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 xml:space="preserve">Nas operações realizadas com Clientes </w:t>
      </w:r>
      <w:r w:rsidR="00092420">
        <w:rPr>
          <w:rFonts w:ascii="Arial" w:eastAsia="Times New Roman" w:hAnsi="Arial" w:cs="Arial"/>
          <w:kern w:val="0"/>
          <w:sz w:val="24"/>
          <w:szCs w:val="20"/>
          <w:lang w:eastAsia="pt-BR"/>
          <w14:ligatures w14:val="none"/>
        </w:rPr>
        <w:t xml:space="preserve">Finais </w:t>
      </w:r>
      <w:r w:rsidRPr="00964AAA">
        <w:rPr>
          <w:rFonts w:ascii="Arial" w:eastAsia="Times New Roman" w:hAnsi="Arial" w:cs="Arial"/>
          <w:kern w:val="0"/>
          <w:sz w:val="24"/>
          <w:szCs w:val="20"/>
          <w:lang w:eastAsia="pt-BR"/>
          <w14:ligatures w14:val="none"/>
        </w:rPr>
        <w:t xml:space="preserve">que possuem, dentre as suas atividades, o abate e/ou fabricação de produtos de carne (Seção C 10.1 da CNAE do IBGE, apenas no que se refere a bovinos), nos casos de descumprimento de obrigação do Cliente de atualizar e manter disponível à Instituição Financeira Credenciada e ao Sistema BNDES, o cadastro de fornecedores diretos, conforme descrito no </w:t>
      </w:r>
      <w:r w:rsidRPr="00517536">
        <w:rPr>
          <w:rFonts w:ascii="Arial" w:eastAsia="Times New Roman" w:hAnsi="Arial" w:cs="Arial"/>
          <w:kern w:val="0"/>
          <w:sz w:val="24"/>
          <w:szCs w:val="20"/>
          <w:lang w:eastAsia="pt-BR"/>
          <w14:ligatures w14:val="none"/>
        </w:rPr>
        <w:t>inciso IX</w:t>
      </w:r>
      <w:r w:rsidRPr="00964AAA">
        <w:rPr>
          <w:rFonts w:ascii="Arial" w:eastAsia="Times New Roman" w:hAnsi="Arial" w:cs="Arial"/>
          <w:kern w:val="0"/>
          <w:sz w:val="24"/>
          <w:szCs w:val="20"/>
          <w:lang w:eastAsia="pt-BR"/>
          <w14:ligatures w14:val="none"/>
        </w:rPr>
        <w:t xml:space="preserve"> das Obrigações Especiais do Cliente que consta do </w:t>
      </w:r>
      <w:r w:rsidRPr="00517536">
        <w:rPr>
          <w:rFonts w:ascii="Arial" w:eastAsia="Times New Roman" w:hAnsi="Arial" w:cs="Arial"/>
          <w:kern w:val="0"/>
          <w:sz w:val="24"/>
          <w:szCs w:val="20"/>
          <w:lang w:eastAsia="pt-BR"/>
          <w14:ligatures w14:val="none"/>
        </w:rPr>
        <w:t>Anexo I</w:t>
      </w:r>
      <w:r w:rsidR="00007509" w:rsidRPr="00517536">
        <w:rPr>
          <w:rFonts w:ascii="Arial" w:eastAsia="Times New Roman" w:hAnsi="Arial" w:cs="Arial"/>
          <w:kern w:val="0"/>
          <w:sz w:val="24"/>
          <w:szCs w:val="20"/>
          <w:lang w:eastAsia="pt-BR"/>
          <w14:ligatures w14:val="none"/>
        </w:rPr>
        <w:t>I</w:t>
      </w:r>
      <w:r w:rsidRPr="00964AAA">
        <w:rPr>
          <w:rFonts w:ascii="Arial" w:eastAsia="Times New Roman" w:hAnsi="Arial" w:cs="Arial"/>
          <w:kern w:val="0"/>
          <w:sz w:val="24"/>
          <w:szCs w:val="20"/>
          <w:lang w:eastAsia="pt-BR"/>
          <w14:ligatures w14:val="none"/>
        </w:rPr>
        <w:t>.</w:t>
      </w:r>
    </w:p>
    <w:p w14:paraId="52970A54" w14:textId="1FC2A9ED" w:rsidR="00964AAA" w:rsidRPr="00964AAA" w:rsidRDefault="00964AAA" w:rsidP="00964AAA">
      <w:pPr>
        <w:numPr>
          <w:ilvl w:val="2"/>
          <w:numId w:val="2"/>
        </w:numPr>
        <w:tabs>
          <w:tab w:val="num" w:pos="1134"/>
          <w:tab w:val="num" w:pos="1985"/>
        </w:tabs>
        <w:spacing w:before="120" w:after="120" w:line="240" w:lineRule="auto"/>
        <w:ind w:left="1985" w:hanging="851"/>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Nas operações com Clientes que possuem, dentre as suas atividades, o plantio, renovação e custeio de lavouras, e a industrialização de cana-de-açúcar destinada à produção de etanol e demais biocombustíveis derivados da cana-de-açúcar</w:t>
      </w:r>
      <w:r w:rsidRPr="00964AAA">
        <w:rPr>
          <w:rFonts w:ascii="Arial" w:eastAsia="Times New Roman" w:hAnsi="Arial" w:cs="Arial"/>
          <w:strike/>
          <w:kern w:val="0"/>
          <w:sz w:val="24"/>
          <w:szCs w:val="20"/>
          <w:lang w:eastAsia="pt-BR"/>
          <w14:ligatures w14:val="none"/>
        </w:rPr>
        <w:t>,</w:t>
      </w:r>
      <w:r w:rsidRPr="00964AAA">
        <w:rPr>
          <w:rFonts w:ascii="Arial" w:eastAsia="Times New Roman" w:hAnsi="Arial" w:cs="Arial"/>
          <w:kern w:val="0"/>
          <w:sz w:val="24"/>
          <w:szCs w:val="20"/>
          <w:lang w:eastAsia="pt-BR"/>
          <w14:ligatures w14:val="none"/>
        </w:rPr>
        <w:t xml:space="preserve"> e açúcar, exceto o açúcar mascavo, conforme Classificação Nacional de Atividades Econômicas – CNAE, códigos 0113-0/00, 1071-6/00, 1072-4/01 e 1931-4/00, do Instituto Brasileiro de Geografia e Estatística – IBGE, no caso de descumprimento dos </w:t>
      </w:r>
      <w:r w:rsidRPr="00517536">
        <w:rPr>
          <w:rFonts w:ascii="Arial" w:eastAsia="Times New Roman" w:hAnsi="Arial" w:cs="Arial"/>
          <w:kern w:val="0"/>
          <w:sz w:val="24"/>
          <w:szCs w:val="20"/>
          <w:lang w:eastAsia="pt-BR"/>
          <w14:ligatures w14:val="none"/>
        </w:rPr>
        <w:t xml:space="preserve">incisos </w:t>
      </w:r>
      <w:r w:rsidR="00FA1578" w:rsidRPr="00517536">
        <w:rPr>
          <w:rFonts w:ascii="Arial" w:eastAsia="Times New Roman" w:hAnsi="Arial" w:cs="Arial"/>
          <w:kern w:val="0"/>
          <w:sz w:val="24"/>
          <w:szCs w:val="20"/>
          <w:lang w:eastAsia="pt-BR"/>
          <w14:ligatures w14:val="none"/>
        </w:rPr>
        <w:t xml:space="preserve">V </w:t>
      </w:r>
      <w:r w:rsidRPr="00517536">
        <w:rPr>
          <w:rFonts w:ascii="Arial" w:eastAsia="Times New Roman" w:hAnsi="Arial" w:cs="Arial"/>
          <w:kern w:val="0"/>
          <w:sz w:val="24"/>
          <w:szCs w:val="20"/>
          <w:lang w:eastAsia="pt-BR"/>
          <w14:ligatures w14:val="none"/>
        </w:rPr>
        <w:t xml:space="preserve">e </w:t>
      </w:r>
      <w:r w:rsidR="00FA1578" w:rsidRPr="00517536">
        <w:rPr>
          <w:rFonts w:ascii="Arial" w:eastAsia="Times New Roman" w:hAnsi="Arial" w:cs="Arial"/>
          <w:kern w:val="0"/>
          <w:sz w:val="24"/>
          <w:szCs w:val="20"/>
          <w:lang w:eastAsia="pt-BR"/>
          <w14:ligatures w14:val="none"/>
        </w:rPr>
        <w:t>V</w:t>
      </w:r>
      <w:r w:rsidRPr="00517536">
        <w:rPr>
          <w:rFonts w:ascii="Arial" w:eastAsia="Times New Roman" w:hAnsi="Arial" w:cs="Arial"/>
          <w:kern w:val="0"/>
          <w:sz w:val="24"/>
          <w:szCs w:val="20"/>
          <w:lang w:eastAsia="pt-BR"/>
          <w14:ligatures w14:val="none"/>
        </w:rPr>
        <w:t>I</w:t>
      </w:r>
      <w:r w:rsidRPr="00FA1578">
        <w:rPr>
          <w:rFonts w:ascii="Arial" w:eastAsia="Times New Roman" w:hAnsi="Arial" w:cs="Arial"/>
          <w:kern w:val="0"/>
          <w:sz w:val="24"/>
          <w:szCs w:val="20"/>
          <w:lang w:eastAsia="pt-BR"/>
          <w14:ligatures w14:val="none"/>
        </w:rPr>
        <w:t xml:space="preserve"> das Obrigações</w:t>
      </w:r>
      <w:r w:rsidRPr="00964AAA">
        <w:rPr>
          <w:rFonts w:ascii="Arial" w:eastAsia="Times New Roman" w:hAnsi="Arial" w:cs="Arial"/>
          <w:kern w:val="0"/>
          <w:sz w:val="24"/>
          <w:szCs w:val="20"/>
          <w:lang w:eastAsia="pt-BR"/>
          <w14:ligatures w14:val="none"/>
        </w:rPr>
        <w:t xml:space="preserve"> Especiais do Cliente ou de falsidade das declarações e/ou informações prestadas e exigidas nos </w:t>
      </w:r>
      <w:r w:rsidRPr="00FA1578">
        <w:rPr>
          <w:rFonts w:ascii="Arial" w:eastAsia="Times New Roman" w:hAnsi="Arial" w:cs="Arial"/>
          <w:kern w:val="0"/>
          <w:sz w:val="24"/>
          <w:szCs w:val="20"/>
          <w:lang w:eastAsia="pt-BR"/>
          <w14:ligatures w14:val="none"/>
        </w:rPr>
        <w:t>incisos XI</w:t>
      </w:r>
      <w:r w:rsidR="00FA1578" w:rsidRPr="00517536">
        <w:rPr>
          <w:rFonts w:ascii="Arial" w:eastAsia="Times New Roman" w:hAnsi="Arial" w:cs="Arial"/>
          <w:kern w:val="0"/>
          <w:sz w:val="24"/>
          <w:szCs w:val="20"/>
          <w:lang w:eastAsia="pt-BR"/>
          <w14:ligatures w14:val="none"/>
        </w:rPr>
        <w:t>X</w:t>
      </w:r>
      <w:r w:rsidRPr="00FA1578">
        <w:rPr>
          <w:rFonts w:ascii="Arial" w:eastAsia="Times New Roman" w:hAnsi="Arial" w:cs="Arial"/>
          <w:kern w:val="0"/>
          <w:sz w:val="24"/>
          <w:szCs w:val="20"/>
          <w:lang w:eastAsia="pt-BR"/>
          <w14:ligatures w14:val="none"/>
        </w:rPr>
        <w:t xml:space="preserve"> e XX das Declarações do Cliente que constam do </w:t>
      </w:r>
      <w:r w:rsidRPr="00517536">
        <w:rPr>
          <w:rFonts w:ascii="Arial" w:eastAsia="Times New Roman" w:hAnsi="Arial" w:cs="Arial"/>
          <w:kern w:val="0"/>
          <w:sz w:val="24"/>
          <w:szCs w:val="20"/>
          <w:lang w:eastAsia="pt-BR"/>
          <w14:ligatures w14:val="none"/>
        </w:rPr>
        <w:t>Anexo I</w:t>
      </w:r>
      <w:r w:rsidR="00D70793" w:rsidRPr="00517536">
        <w:rPr>
          <w:rFonts w:ascii="Arial" w:eastAsia="Times New Roman" w:hAnsi="Arial" w:cs="Arial"/>
          <w:kern w:val="0"/>
          <w:sz w:val="24"/>
          <w:szCs w:val="20"/>
          <w:lang w:eastAsia="pt-BR"/>
          <w14:ligatures w14:val="none"/>
        </w:rPr>
        <w:t>I</w:t>
      </w:r>
      <w:r w:rsidRPr="00FA1578">
        <w:rPr>
          <w:rFonts w:ascii="Arial" w:eastAsia="Times New Roman" w:hAnsi="Arial" w:cs="Arial"/>
          <w:kern w:val="0"/>
          <w:sz w:val="24"/>
          <w:szCs w:val="20"/>
          <w:lang w:eastAsia="pt-BR"/>
          <w14:ligatures w14:val="none"/>
        </w:rPr>
        <w:t xml:space="preserve"> à</w:t>
      </w:r>
      <w:r w:rsidRPr="00964AAA">
        <w:rPr>
          <w:rFonts w:ascii="Arial" w:eastAsia="Times New Roman" w:hAnsi="Arial" w:cs="Arial"/>
          <w:kern w:val="0"/>
          <w:sz w:val="24"/>
          <w:szCs w:val="20"/>
          <w:lang w:eastAsia="pt-BR"/>
          <w14:ligatures w14:val="none"/>
        </w:rPr>
        <w:t xml:space="preserve"> presente Circular, sem prejuízo do disposto no MCR 2-1-16 e 2-1-17, bem como da aplicação das sanções legais cabíveis. </w:t>
      </w:r>
    </w:p>
    <w:p w14:paraId="0D07A6AE" w14:textId="77777777" w:rsidR="00964AAA" w:rsidRPr="00964AAA" w:rsidRDefault="00964AAA" w:rsidP="00D70793">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NORMAS DE REGÊNCIA</w:t>
      </w:r>
    </w:p>
    <w:p w14:paraId="799214FC" w14:textId="77777777" w:rsidR="00964AAA" w:rsidRPr="00964AAA" w:rsidRDefault="00964AAA" w:rsidP="00964AAA">
      <w:pPr>
        <w:spacing w:before="120" w:after="120" w:line="240" w:lineRule="auto"/>
        <w:ind w:left="567"/>
        <w:jc w:val="both"/>
        <w:rPr>
          <w:rFonts w:ascii="Arial" w:eastAsia="Times New Roman" w:hAnsi="Arial" w:cs="Arial"/>
          <w:kern w:val="0"/>
          <w:sz w:val="24"/>
          <w:szCs w:val="20"/>
          <w:lang w:eastAsia="pt-BR"/>
          <w14:ligatures w14:val="none"/>
        </w:rPr>
      </w:pPr>
      <w:r w:rsidRPr="00964AAA">
        <w:rPr>
          <w:rFonts w:ascii="Arial" w:eastAsia="Times New Roman" w:hAnsi="Arial" w:cs="Times New Roman"/>
          <w:kern w:val="0"/>
          <w:sz w:val="24"/>
          <w:szCs w:val="20"/>
          <w:lang w:eastAsia="pt-BR"/>
          <w14:ligatures w14:val="none"/>
        </w:rPr>
        <w:t xml:space="preserve">Aplicam-se às operações, no que couber, as “Disposições Aplicáveis aos Contratos do BNDES” e as demais instruções emitidas pelo Sistema BNDES, disponíveis no endereço eletrônico </w:t>
      </w:r>
      <w:r w:rsidRPr="00964AAA">
        <w:rPr>
          <w:rFonts w:ascii="Arial" w:eastAsia="Times New Roman" w:hAnsi="Arial" w:cs="Times New Roman"/>
          <w:b/>
          <w:kern w:val="0"/>
          <w:sz w:val="24"/>
          <w:szCs w:val="20"/>
          <w:lang w:eastAsia="pt-BR"/>
          <w14:ligatures w14:val="none"/>
        </w:rPr>
        <w:t>http://www.bndes.gov.br</w:t>
      </w:r>
      <w:r w:rsidRPr="00964AAA">
        <w:rPr>
          <w:rFonts w:ascii="Arial" w:eastAsia="Times New Roman" w:hAnsi="Arial" w:cs="Times New Roman"/>
          <w:kern w:val="0"/>
          <w:sz w:val="24"/>
          <w:szCs w:val="20"/>
          <w:lang w:eastAsia="pt-BR"/>
          <w14:ligatures w14:val="none"/>
        </w:rPr>
        <w:t>.</w:t>
      </w:r>
    </w:p>
    <w:p w14:paraId="743BF517" w14:textId="37384431" w:rsidR="00964AAA" w:rsidRPr="00964AAA" w:rsidRDefault="00964AAA" w:rsidP="00964AAA">
      <w:pPr>
        <w:spacing w:before="120" w:after="120" w:line="240" w:lineRule="auto"/>
        <w:ind w:left="567"/>
        <w:jc w:val="both"/>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Em Produtos</w:t>
      </w:r>
      <w:r w:rsidR="001F19ED">
        <w:rPr>
          <w:rFonts w:ascii="Arial" w:eastAsia="Times New Roman" w:hAnsi="Arial" w:cs="Arial"/>
          <w:kern w:val="0"/>
          <w:sz w:val="24"/>
          <w:szCs w:val="20"/>
          <w:lang w:eastAsia="pt-BR"/>
          <w14:ligatures w14:val="none"/>
        </w:rPr>
        <w:t xml:space="preserve"> e</w:t>
      </w:r>
      <w:r w:rsidRPr="00964AAA">
        <w:rPr>
          <w:rFonts w:ascii="Arial" w:eastAsia="Times New Roman" w:hAnsi="Arial" w:cs="Arial"/>
          <w:kern w:val="0"/>
          <w:sz w:val="24"/>
          <w:szCs w:val="20"/>
          <w:lang w:eastAsia="pt-BR"/>
          <w14:ligatures w14:val="none"/>
        </w:rPr>
        <w:t xml:space="preserve"> Programas específicos estabelecidos por meio de instruções emitidas pelo Sistema BNDES, poderão ser determinados condições, critérios e procedimentos </w:t>
      </w:r>
      <w:r w:rsidRPr="00964AAA">
        <w:rPr>
          <w:rFonts w:ascii="Arial" w:eastAsia="Times New Roman" w:hAnsi="Arial" w:cs="Arial"/>
          <w:kern w:val="0"/>
          <w:sz w:val="24"/>
          <w:szCs w:val="20"/>
          <w:lang w:eastAsia="pt-BR"/>
          <w14:ligatures w14:val="none"/>
        </w:rPr>
        <w:lastRenderedPageBreak/>
        <w:t>operacionais diferentes dos estabelecidos na presente Circular, os quais prevalecem, quando conflitantes, sobre os procedimentos desta Circular.</w:t>
      </w:r>
    </w:p>
    <w:p w14:paraId="3B3662C6" w14:textId="77777777" w:rsidR="00964AAA" w:rsidRPr="00964AAA" w:rsidRDefault="00964AAA" w:rsidP="00E85D0B">
      <w:pPr>
        <w:keepNext/>
        <w:numPr>
          <w:ilvl w:val="0"/>
          <w:numId w:val="2"/>
        </w:numPr>
        <w:tabs>
          <w:tab w:val="clear" w:pos="425"/>
          <w:tab w:val="num" w:pos="567"/>
        </w:tabs>
        <w:spacing w:before="360" w:after="120" w:line="240" w:lineRule="auto"/>
        <w:ind w:left="567" w:hanging="567"/>
        <w:jc w:val="both"/>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t>VIGÊNCIA</w:t>
      </w:r>
    </w:p>
    <w:p w14:paraId="307823AB" w14:textId="7C708C15" w:rsidR="00964AAA" w:rsidRPr="00964AAA" w:rsidRDefault="00964AAA" w:rsidP="00E85D0B">
      <w:pPr>
        <w:keepNext/>
        <w:tabs>
          <w:tab w:val="num" w:pos="3693"/>
        </w:tabs>
        <w:spacing w:before="120" w:after="120" w:line="240" w:lineRule="auto"/>
        <w:ind w:left="567"/>
        <w:jc w:val="both"/>
        <w:rPr>
          <w:rFonts w:ascii="Arial" w:eastAsia="Times New Roman" w:hAnsi="Arial" w:cs="Times New Roman"/>
          <w:bCs/>
          <w:kern w:val="0"/>
          <w:sz w:val="24"/>
          <w:szCs w:val="20"/>
          <w:lang w:eastAsia="pt-BR"/>
          <w14:ligatures w14:val="none"/>
        </w:rPr>
      </w:pPr>
      <w:r w:rsidRPr="00964AAA">
        <w:rPr>
          <w:rFonts w:ascii="Arial" w:eastAsia="Times New Roman" w:hAnsi="Arial" w:cs="Times New Roman"/>
          <w:bCs/>
          <w:kern w:val="0"/>
          <w:sz w:val="24"/>
          <w:szCs w:val="20"/>
          <w:lang w:eastAsia="pt-BR"/>
          <w14:ligatures w14:val="none"/>
        </w:rPr>
        <w:t xml:space="preserve">Esta Circular e seus respectivos Anexos </w:t>
      </w:r>
      <w:r w:rsidR="00DD5A47">
        <w:rPr>
          <w:rFonts w:ascii="Arial" w:eastAsia="Times New Roman" w:hAnsi="Arial" w:cs="Times New Roman"/>
          <w:bCs/>
          <w:kern w:val="0"/>
          <w:sz w:val="24"/>
          <w:szCs w:val="20"/>
          <w:lang w:eastAsia="pt-BR"/>
          <w14:ligatures w14:val="none"/>
        </w:rPr>
        <w:t xml:space="preserve">entram em vigor em </w:t>
      </w:r>
      <w:r w:rsidR="005E71D5">
        <w:rPr>
          <w:rFonts w:ascii="Arial" w:eastAsia="Times New Roman" w:hAnsi="Arial" w:cs="Times New Roman"/>
          <w:b/>
          <w:kern w:val="0"/>
          <w:sz w:val="24"/>
          <w:szCs w:val="20"/>
          <w:lang w:eastAsia="pt-BR"/>
          <w14:ligatures w14:val="none"/>
        </w:rPr>
        <w:t>18</w:t>
      </w:r>
      <w:r w:rsidR="00DD5A47" w:rsidRPr="00E85D0B">
        <w:rPr>
          <w:rFonts w:ascii="Arial" w:eastAsia="Times New Roman" w:hAnsi="Arial" w:cs="Times New Roman"/>
          <w:b/>
          <w:kern w:val="0"/>
          <w:sz w:val="24"/>
          <w:szCs w:val="20"/>
          <w:lang w:eastAsia="pt-BR"/>
          <w14:ligatures w14:val="none"/>
        </w:rPr>
        <w:t>.</w:t>
      </w:r>
      <w:r w:rsidR="005E71D5">
        <w:rPr>
          <w:rFonts w:ascii="Arial" w:eastAsia="Times New Roman" w:hAnsi="Arial" w:cs="Times New Roman"/>
          <w:b/>
          <w:kern w:val="0"/>
          <w:sz w:val="24"/>
          <w:szCs w:val="20"/>
          <w:lang w:eastAsia="pt-BR"/>
          <w14:ligatures w14:val="none"/>
        </w:rPr>
        <w:t>09</w:t>
      </w:r>
      <w:r w:rsidR="00DD5A47" w:rsidRPr="00E85D0B">
        <w:rPr>
          <w:rFonts w:ascii="Arial" w:eastAsia="Times New Roman" w:hAnsi="Arial" w:cs="Times New Roman"/>
          <w:b/>
          <w:kern w:val="0"/>
          <w:sz w:val="24"/>
          <w:szCs w:val="20"/>
          <w:lang w:eastAsia="pt-BR"/>
          <w14:ligatures w14:val="none"/>
        </w:rPr>
        <w:t>.202</w:t>
      </w:r>
      <w:r w:rsidR="005E71D5">
        <w:rPr>
          <w:rFonts w:ascii="Arial" w:eastAsia="Times New Roman" w:hAnsi="Arial" w:cs="Times New Roman"/>
          <w:b/>
          <w:kern w:val="0"/>
          <w:sz w:val="24"/>
          <w:szCs w:val="20"/>
          <w:lang w:eastAsia="pt-BR"/>
          <w14:ligatures w14:val="none"/>
        </w:rPr>
        <w:t>4</w:t>
      </w:r>
      <w:r w:rsidRPr="00964AAA">
        <w:rPr>
          <w:rFonts w:ascii="Arial" w:eastAsia="Times New Roman" w:hAnsi="Arial" w:cs="Times New Roman"/>
          <w:bCs/>
          <w:kern w:val="0"/>
          <w:sz w:val="24"/>
          <w:szCs w:val="20"/>
          <w:lang w:eastAsia="pt-BR"/>
          <w14:ligatures w14:val="none"/>
        </w:rPr>
        <w:t>.</w:t>
      </w:r>
    </w:p>
    <w:p w14:paraId="38370CFE" w14:textId="77777777" w:rsidR="00964AAA" w:rsidRPr="00964AAA" w:rsidRDefault="00964AAA" w:rsidP="00964AAA">
      <w:pPr>
        <w:keepNext/>
        <w:spacing w:before="120" w:after="120" w:line="240" w:lineRule="auto"/>
        <w:ind w:left="567"/>
        <w:jc w:val="both"/>
        <w:rPr>
          <w:rFonts w:ascii="Arial" w:eastAsia="Times New Roman" w:hAnsi="Arial" w:cs="Times New Roman"/>
          <w:kern w:val="0"/>
          <w:sz w:val="24"/>
          <w:szCs w:val="20"/>
          <w:lang w:eastAsia="pt-BR"/>
          <w14:ligatures w14:val="none"/>
        </w:rPr>
      </w:pPr>
    </w:p>
    <w:p w14:paraId="4591A185" w14:textId="77777777" w:rsidR="00964AAA" w:rsidRPr="00964AAA" w:rsidRDefault="00964AAA" w:rsidP="00964AAA">
      <w:pPr>
        <w:keepNext/>
        <w:spacing w:before="120" w:after="120" w:line="240" w:lineRule="auto"/>
        <w:ind w:left="426"/>
        <w:jc w:val="both"/>
        <w:rPr>
          <w:rFonts w:ascii="Arial" w:eastAsia="Times New Roman" w:hAnsi="Arial" w:cs="Arial"/>
          <w:kern w:val="0"/>
          <w:sz w:val="24"/>
          <w:szCs w:val="20"/>
          <w:lang w:eastAsia="pt-BR"/>
          <w14:ligatures w14:val="none"/>
        </w:rPr>
      </w:pPr>
    </w:p>
    <w:p w14:paraId="7EEE3A83" w14:textId="77777777" w:rsidR="00964AAA" w:rsidRPr="00964AAA" w:rsidRDefault="00964AAA" w:rsidP="00964AAA">
      <w:pPr>
        <w:keepNext/>
        <w:spacing w:after="0" w:line="240" w:lineRule="auto"/>
        <w:jc w:val="center"/>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Marcelo Porteiro Cardoso</w:t>
      </w:r>
    </w:p>
    <w:p w14:paraId="1447B392" w14:textId="77777777" w:rsidR="00964AAA" w:rsidRPr="00964AAA" w:rsidRDefault="00964AAA" w:rsidP="00964AAA">
      <w:pPr>
        <w:keepNext/>
        <w:spacing w:after="0" w:line="240" w:lineRule="auto"/>
        <w:jc w:val="center"/>
        <w:outlineLvl w:val="1"/>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Superintendente</w:t>
      </w:r>
    </w:p>
    <w:p w14:paraId="1DC0A4CF" w14:textId="77777777" w:rsidR="00964AAA" w:rsidRPr="00964AAA" w:rsidRDefault="00964AAA" w:rsidP="00964AAA">
      <w:pPr>
        <w:keepNext/>
        <w:spacing w:after="0" w:line="240" w:lineRule="auto"/>
        <w:jc w:val="center"/>
        <w:rPr>
          <w:rFonts w:ascii="Arial" w:eastAsia="Times New Roman" w:hAnsi="Arial" w:cs="Arial"/>
          <w:kern w:val="0"/>
          <w:sz w:val="24"/>
          <w:szCs w:val="20"/>
          <w:lang w:eastAsia="pt-BR"/>
          <w14:ligatures w14:val="none"/>
        </w:rPr>
      </w:pPr>
      <w:r w:rsidRPr="00964AAA">
        <w:rPr>
          <w:rFonts w:ascii="Arial" w:eastAsia="Times New Roman" w:hAnsi="Arial" w:cs="Arial"/>
          <w:kern w:val="0"/>
          <w:sz w:val="24"/>
          <w:szCs w:val="20"/>
          <w:lang w:eastAsia="pt-BR"/>
          <w14:ligatures w14:val="none"/>
        </w:rPr>
        <w:t>Área de Operações Indiretas</w:t>
      </w:r>
    </w:p>
    <w:p w14:paraId="6A7665F4" w14:textId="09FDAB30" w:rsidR="00DD5A47" w:rsidRDefault="00964AAA" w:rsidP="00517536">
      <w:pPr>
        <w:spacing w:after="0" w:line="240" w:lineRule="auto"/>
        <w:jc w:val="center"/>
        <w:rPr>
          <w:rFonts w:ascii="Arial" w:eastAsia="Times New Roman" w:hAnsi="Arial" w:cs="Times New Roman"/>
          <w:b/>
          <w:kern w:val="0"/>
          <w:sz w:val="24"/>
          <w:szCs w:val="20"/>
          <w:lang w:eastAsia="pt-BR"/>
          <w14:ligatures w14:val="none"/>
        </w:rPr>
      </w:pPr>
      <w:r w:rsidRPr="00964AAA">
        <w:rPr>
          <w:rFonts w:ascii="Arial" w:eastAsia="Times New Roman" w:hAnsi="Arial" w:cs="Arial"/>
          <w:kern w:val="0"/>
          <w:sz w:val="24"/>
          <w:szCs w:val="20"/>
          <w:lang w:eastAsia="pt-BR"/>
          <w14:ligatures w14:val="none"/>
        </w:rPr>
        <w:t>BNDES</w:t>
      </w:r>
      <w:r w:rsidR="00DD5A47">
        <w:rPr>
          <w:rFonts w:ascii="Arial" w:eastAsia="Times New Roman" w:hAnsi="Arial" w:cs="Times New Roman"/>
          <w:b/>
          <w:kern w:val="0"/>
          <w:sz w:val="24"/>
          <w:szCs w:val="20"/>
          <w:lang w:eastAsia="pt-BR"/>
          <w14:ligatures w14:val="none"/>
        </w:rPr>
        <w:br w:type="page"/>
      </w:r>
    </w:p>
    <w:p w14:paraId="45FD9BED" w14:textId="4B3654EF" w:rsidR="00964AAA" w:rsidRPr="00964AAA" w:rsidRDefault="00964AAA" w:rsidP="00964AAA">
      <w:pPr>
        <w:pBdr>
          <w:bottom w:val="single" w:sz="4" w:space="1" w:color="auto"/>
        </w:pBdr>
        <w:spacing w:after="0" w:line="240" w:lineRule="auto"/>
        <w:rPr>
          <w:rFonts w:ascii="Arial" w:eastAsia="Times New Roman" w:hAnsi="Arial" w:cs="Times New Roman"/>
          <w:b/>
          <w:kern w:val="0"/>
          <w:sz w:val="24"/>
          <w:szCs w:val="20"/>
          <w:lang w:eastAsia="pt-BR"/>
          <w14:ligatures w14:val="none"/>
        </w:rPr>
      </w:pPr>
      <w:r w:rsidRPr="00964AAA">
        <w:rPr>
          <w:rFonts w:ascii="Arial" w:eastAsia="Times New Roman" w:hAnsi="Arial" w:cs="Times New Roman"/>
          <w:b/>
          <w:kern w:val="0"/>
          <w:sz w:val="24"/>
          <w:szCs w:val="20"/>
          <w:lang w:eastAsia="pt-BR"/>
          <w14:ligatures w14:val="none"/>
        </w:rPr>
        <w:lastRenderedPageBreak/>
        <w:t>Relação de Anexos à Circular SUP/ADIG nº</w:t>
      </w:r>
      <w:r w:rsidRPr="00964AAA">
        <w:rPr>
          <w:rFonts w:ascii="Arial" w:eastAsia="Times New Roman" w:hAnsi="Arial" w:cs="Times New Roman"/>
          <w:kern w:val="0"/>
          <w:sz w:val="24"/>
          <w:szCs w:val="20"/>
          <w:lang w:eastAsia="pt-BR"/>
          <w14:ligatures w14:val="none"/>
        </w:rPr>
        <w:t xml:space="preserve"> </w:t>
      </w:r>
      <w:r w:rsidR="00333579">
        <w:rPr>
          <w:rFonts w:ascii="Arial" w:eastAsia="Times New Roman" w:hAnsi="Arial" w:cs="Times New Roman"/>
          <w:b/>
          <w:kern w:val="0"/>
          <w:sz w:val="24"/>
          <w:szCs w:val="20"/>
          <w:lang w:eastAsia="pt-BR"/>
          <w14:ligatures w14:val="none"/>
        </w:rPr>
        <w:t>84</w:t>
      </w:r>
      <w:r w:rsidRPr="00964AAA">
        <w:rPr>
          <w:rFonts w:ascii="Arial" w:eastAsia="Times New Roman" w:hAnsi="Arial" w:cs="Times New Roman"/>
          <w:b/>
          <w:kern w:val="0"/>
          <w:sz w:val="24"/>
          <w:szCs w:val="20"/>
          <w:lang w:eastAsia="pt-BR"/>
          <w14:ligatures w14:val="none"/>
        </w:rPr>
        <w:t>/202</w:t>
      </w:r>
      <w:r w:rsidR="00614F43">
        <w:rPr>
          <w:rFonts w:ascii="Arial" w:eastAsia="Times New Roman" w:hAnsi="Arial" w:cs="Times New Roman"/>
          <w:b/>
          <w:kern w:val="0"/>
          <w:sz w:val="24"/>
          <w:szCs w:val="20"/>
          <w:lang w:eastAsia="pt-BR"/>
          <w14:ligatures w14:val="none"/>
        </w:rPr>
        <w:t>4</w:t>
      </w:r>
      <w:r w:rsidRPr="00964AAA">
        <w:rPr>
          <w:rFonts w:ascii="Arial" w:eastAsia="Times New Roman" w:hAnsi="Arial" w:cs="Times New Roman"/>
          <w:b/>
          <w:kern w:val="0"/>
          <w:sz w:val="24"/>
          <w:szCs w:val="20"/>
          <w:lang w:eastAsia="pt-BR"/>
          <w14:ligatures w14:val="none"/>
        </w:rPr>
        <w:t xml:space="preserve">-BNDES, de </w:t>
      </w:r>
      <w:r w:rsidR="00333579">
        <w:rPr>
          <w:rFonts w:ascii="Arial" w:eastAsia="Times New Roman" w:hAnsi="Arial" w:cs="Times New Roman"/>
          <w:b/>
          <w:kern w:val="0"/>
          <w:sz w:val="24"/>
          <w:szCs w:val="20"/>
          <w:lang w:eastAsia="pt-BR"/>
          <w14:ligatures w14:val="none"/>
        </w:rPr>
        <w:t>13</w:t>
      </w:r>
      <w:r w:rsidRPr="00964AAA">
        <w:rPr>
          <w:rFonts w:ascii="Arial" w:eastAsia="Times New Roman" w:hAnsi="Arial" w:cs="Times New Roman"/>
          <w:b/>
          <w:kern w:val="0"/>
          <w:sz w:val="24"/>
          <w:szCs w:val="20"/>
          <w:lang w:eastAsia="pt-BR"/>
          <w14:ligatures w14:val="none"/>
        </w:rPr>
        <w:t>.</w:t>
      </w:r>
      <w:r w:rsidR="00333579">
        <w:rPr>
          <w:rFonts w:ascii="Arial" w:eastAsia="Times New Roman" w:hAnsi="Arial" w:cs="Times New Roman"/>
          <w:b/>
          <w:kern w:val="0"/>
          <w:sz w:val="24"/>
          <w:szCs w:val="20"/>
          <w:lang w:eastAsia="pt-BR"/>
          <w14:ligatures w14:val="none"/>
        </w:rPr>
        <w:t>09</w:t>
      </w:r>
      <w:r w:rsidRPr="00964AAA">
        <w:rPr>
          <w:rFonts w:ascii="Arial" w:eastAsia="Times New Roman" w:hAnsi="Arial" w:cs="Times New Roman"/>
          <w:b/>
          <w:kern w:val="0"/>
          <w:sz w:val="24"/>
          <w:szCs w:val="20"/>
          <w:lang w:eastAsia="pt-BR"/>
          <w14:ligatures w14:val="none"/>
        </w:rPr>
        <w:t>.202</w:t>
      </w:r>
      <w:r w:rsidR="00614F43">
        <w:rPr>
          <w:rFonts w:ascii="Arial" w:eastAsia="Times New Roman" w:hAnsi="Arial" w:cs="Times New Roman"/>
          <w:b/>
          <w:kern w:val="0"/>
          <w:sz w:val="24"/>
          <w:szCs w:val="20"/>
          <w:lang w:eastAsia="pt-BR"/>
          <w14:ligatures w14:val="none"/>
        </w:rPr>
        <w:t>4</w:t>
      </w:r>
    </w:p>
    <w:p w14:paraId="2D539C01" w14:textId="77777777" w:rsidR="00964AAA" w:rsidRPr="00964AAA" w:rsidRDefault="00964AAA" w:rsidP="00964AAA">
      <w:pPr>
        <w:spacing w:after="0" w:line="240" w:lineRule="auto"/>
        <w:rPr>
          <w:rFonts w:ascii="Arial" w:eastAsia="Times New Roman" w:hAnsi="Arial" w:cs="Times New Roman"/>
          <w:kern w:val="0"/>
          <w:sz w:val="24"/>
          <w:szCs w:val="20"/>
          <w:lang w:eastAsia="pt-BR"/>
          <w14:ligatures w14:val="none"/>
        </w:rPr>
      </w:pPr>
    </w:p>
    <w:p w14:paraId="7B94A215" w14:textId="77777777" w:rsidR="00964AAA" w:rsidRPr="00614F43" w:rsidRDefault="00964AAA" w:rsidP="00964AAA">
      <w:pPr>
        <w:tabs>
          <w:tab w:val="left" w:pos="1701"/>
        </w:tabs>
        <w:spacing w:before="100" w:after="100" w:line="240" w:lineRule="auto"/>
        <w:ind w:left="1701" w:hanging="1701"/>
        <w:jc w:val="both"/>
        <w:rPr>
          <w:rFonts w:ascii="Arial" w:eastAsia="Times New Roman" w:hAnsi="Arial" w:cs="Times New Roman"/>
          <w:kern w:val="0"/>
          <w:sz w:val="24"/>
          <w:szCs w:val="20"/>
          <w:lang w:eastAsia="pt-BR"/>
          <w14:ligatures w14:val="none"/>
        </w:rPr>
      </w:pPr>
      <w:r w:rsidRPr="00614F43">
        <w:rPr>
          <w:rFonts w:ascii="Arial" w:eastAsia="Times New Roman" w:hAnsi="Arial" w:cs="Times New Roman"/>
          <w:kern w:val="0"/>
          <w:sz w:val="24"/>
          <w:szCs w:val="20"/>
          <w:lang w:eastAsia="pt-BR"/>
          <w14:ligatures w14:val="none"/>
        </w:rPr>
        <w:t xml:space="preserve">Anexo I - </w:t>
      </w:r>
      <w:r w:rsidRPr="00614F43">
        <w:rPr>
          <w:rFonts w:ascii="Arial" w:eastAsia="Times New Roman" w:hAnsi="Arial" w:cs="Times New Roman"/>
          <w:kern w:val="0"/>
          <w:sz w:val="24"/>
          <w:szCs w:val="20"/>
          <w:lang w:eastAsia="pt-BR"/>
          <w14:ligatures w14:val="none"/>
        </w:rPr>
        <w:tab/>
        <w:t>PROCEDIMENTOS OPERACIONAIS</w:t>
      </w:r>
    </w:p>
    <w:p w14:paraId="4F4D9719" w14:textId="4D6BAFDE" w:rsidR="00964AAA" w:rsidRPr="00964AAA" w:rsidRDefault="00964AAA" w:rsidP="00964AAA">
      <w:pPr>
        <w:tabs>
          <w:tab w:val="left" w:pos="1701"/>
        </w:tabs>
        <w:spacing w:before="100" w:after="100" w:line="240" w:lineRule="auto"/>
        <w:ind w:left="1701" w:hanging="1701"/>
        <w:jc w:val="both"/>
        <w:rPr>
          <w:rFonts w:ascii="Arial" w:eastAsia="Times New Roman" w:hAnsi="Arial" w:cs="Arial"/>
          <w:kern w:val="0"/>
          <w:sz w:val="24"/>
          <w:szCs w:val="20"/>
          <w:lang w:eastAsia="pt-BR"/>
          <w14:ligatures w14:val="none"/>
        </w:rPr>
      </w:pPr>
      <w:r w:rsidRPr="00614F43">
        <w:rPr>
          <w:rFonts w:ascii="Arial" w:eastAsia="Times New Roman" w:hAnsi="Arial" w:cs="Times New Roman"/>
          <w:kern w:val="0"/>
          <w:sz w:val="24"/>
          <w:szCs w:val="20"/>
          <w:lang w:eastAsia="pt-BR"/>
          <w14:ligatures w14:val="none"/>
        </w:rPr>
        <w:t>Anexo I</w:t>
      </w:r>
      <w:r w:rsidR="00614F43" w:rsidRPr="00E85D0B">
        <w:rPr>
          <w:rFonts w:ascii="Arial" w:eastAsia="Times New Roman" w:hAnsi="Arial" w:cs="Times New Roman"/>
          <w:kern w:val="0"/>
          <w:sz w:val="24"/>
          <w:szCs w:val="20"/>
          <w:lang w:eastAsia="pt-BR"/>
          <w14:ligatures w14:val="none"/>
        </w:rPr>
        <w:t>I</w:t>
      </w:r>
      <w:r w:rsidRPr="00614F43">
        <w:rPr>
          <w:rFonts w:ascii="Arial" w:eastAsia="Times New Roman" w:hAnsi="Arial" w:cs="Times New Roman"/>
          <w:kern w:val="0"/>
          <w:sz w:val="24"/>
          <w:szCs w:val="20"/>
          <w:lang w:eastAsia="pt-BR"/>
          <w14:ligatures w14:val="none"/>
        </w:rPr>
        <w:t xml:space="preserve"> - </w:t>
      </w:r>
      <w:r w:rsidRPr="00614F43">
        <w:rPr>
          <w:rFonts w:ascii="Arial" w:eastAsia="Times New Roman" w:hAnsi="Arial" w:cs="Times New Roman"/>
          <w:kern w:val="0"/>
          <w:sz w:val="24"/>
          <w:szCs w:val="20"/>
          <w:lang w:eastAsia="pt-BR"/>
          <w14:ligatures w14:val="none"/>
        </w:rPr>
        <w:tab/>
        <w:t xml:space="preserve">CONDIÇÕES A SEREM APLICADAS AO CONTRATO COM O CLIENTE FINAL </w:t>
      </w:r>
    </w:p>
    <w:p w14:paraId="602C4FC7" w14:textId="77777777" w:rsidR="00D12CA8" w:rsidRDefault="00D12CA8"/>
    <w:sectPr w:rsidR="00D12CA8" w:rsidSect="00964AAA">
      <w:headerReference w:type="even" r:id="rId7"/>
      <w:headerReference w:type="default" r:id="rId8"/>
      <w:footerReference w:type="even" r:id="rId9"/>
      <w:footerReference w:type="default" r:id="rId10"/>
      <w:headerReference w:type="first" r:id="rId11"/>
      <w:pgSz w:w="11907" w:h="16840" w:code="9"/>
      <w:pgMar w:top="1701" w:right="851" w:bottom="1134" w:left="1418" w:header="851"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67ED" w14:textId="77777777" w:rsidR="006D487E" w:rsidRDefault="006D487E">
      <w:pPr>
        <w:spacing w:after="0" w:line="240" w:lineRule="auto"/>
      </w:pPr>
      <w:r>
        <w:separator/>
      </w:r>
    </w:p>
  </w:endnote>
  <w:endnote w:type="continuationSeparator" w:id="0">
    <w:p w14:paraId="35C3D86F" w14:textId="77777777" w:rsidR="006D487E" w:rsidRDefault="006D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B0EF" w14:textId="77777777" w:rsidR="00A07244" w:rsidRDefault="00A0724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F39379" w14:textId="77777777" w:rsidR="00A07244" w:rsidRDefault="00A0724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8ECDF" w14:textId="77777777" w:rsidR="00E31492" w:rsidRPr="007E7664" w:rsidRDefault="00E31492" w:rsidP="00E31492">
    <w:pPr>
      <w:pStyle w:val="Cabealho"/>
      <w:tabs>
        <w:tab w:val="right" w:pos="9639"/>
      </w:tabs>
      <w:ind w:right="-1"/>
      <w:jc w:val="right"/>
      <w:rPr>
        <w:rFonts w:ascii="Arial" w:hAnsi="Arial" w:cs="Arial"/>
        <w:b/>
        <w:i/>
        <w:sz w:val="20"/>
      </w:rPr>
    </w:pPr>
    <w:r>
      <w:rPr>
        <w:rStyle w:val="Nmerodepgina"/>
        <w:rFonts w:ascii="Arial" w:hAnsi="Arial" w:cs="Arial"/>
        <w:i/>
        <w:iCs/>
        <w:sz w:val="20"/>
      </w:rPr>
      <w:tab/>
    </w:r>
    <w:r w:rsidRPr="007E7664">
      <w:rPr>
        <w:rStyle w:val="Nmerodepgina"/>
        <w:rFonts w:ascii="Arial" w:hAnsi="Arial" w:cs="Arial"/>
        <w:i/>
        <w:iCs/>
        <w:sz w:val="20"/>
      </w:rPr>
      <w:t xml:space="preserve">- </w:t>
    </w:r>
    <w:r w:rsidRPr="007E7664">
      <w:rPr>
        <w:rStyle w:val="Nmerodepgina"/>
        <w:rFonts w:ascii="Arial" w:hAnsi="Arial" w:cs="Arial"/>
        <w:b/>
        <w:i/>
        <w:sz w:val="20"/>
      </w:rPr>
      <w:fldChar w:fldCharType="begin"/>
    </w:r>
    <w:r w:rsidRPr="007E7664">
      <w:rPr>
        <w:rStyle w:val="Nmerodepgina"/>
        <w:rFonts w:ascii="Arial" w:hAnsi="Arial" w:cs="Arial"/>
        <w:i/>
        <w:sz w:val="20"/>
      </w:rPr>
      <w:instrText xml:space="preserve"> PAGE </w:instrText>
    </w:r>
    <w:r w:rsidRPr="007E7664">
      <w:rPr>
        <w:rStyle w:val="Nmerodepgina"/>
        <w:rFonts w:ascii="Arial" w:hAnsi="Arial" w:cs="Arial"/>
        <w:b/>
        <w:i/>
        <w:sz w:val="20"/>
      </w:rPr>
      <w:fldChar w:fldCharType="separate"/>
    </w:r>
    <w:r>
      <w:rPr>
        <w:rStyle w:val="Nmerodepgina"/>
        <w:rFonts w:ascii="Arial" w:hAnsi="Arial" w:cs="Arial"/>
        <w:b/>
        <w:i/>
        <w:sz w:val="20"/>
      </w:rPr>
      <w:t>2</w:t>
    </w:r>
    <w:r w:rsidRPr="007E7664">
      <w:rPr>
        <w:rStyle w:val="Nmerodepgina"/>
        <w:rFonts w:ascii="Arial" w:hAnsi="Arial" w:cs="Arial"/>
        <w:b/>
        <w:i/>
        <w:sz w:val="20"/>
      </w:rPr>
      <w:fldChar w:fldCharType="end"/>
    </w:r>
    <w:r w:rsidRPr="007E7664">
      <w:rPr>
        <w:rStyle w:val="Nmerodepgina"/>
        <w:rFonts w:ascii="Arial" w:hAnsi="Arial" w:cs="Arial"/>
        <w:i/>
        <w:iCs/>
        <w:sz w:val="20"/>
      </w:rPr>
      <w:t xml:space="preserve"> -</w:t>
    </w:r>
  </w:p>
  <w:p w14:paraId="72F5B9C0" w14:textId="77777777" w:rsidR="00E31492" w:rsidRDefault="00E314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BE569" w14:textId="77777777" w:rsidR="006D487E" w:rsidRDefault="006D487E">
      <w:pPr>
        <w:spacing w:after="0" w:line="240" w:lineRule="auto"/>
      </w:pPr>
      <w:r>
        <w:separator/>
      </w:r>
    </w:p>
  </w:footnote>
  <w:footnote w:type="continuationSeparator" w:id="0">
    <w:p w14:paraId="22DB1468" w14:textId="77777777" w:rsidR="006D487E" w:rsidRDefault="006D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77D1" w14:textId="77777777" w:rsidR="00A07244" w:rsidRDefault="00A0724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CC36FAF" w14:textId="77777777" w:rsidR="00A07244" w:rsidRDefault="00A0724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E97E" w14:textId="77777777" w:rsidR="00A07244" w:rsidRDefault="00A07244" w:rsidP="00AD613D">
    <w:pPr>
      <w:pStyle w:val="Cabealho"/>
      <w:ind w:right="360" w:firstLine="360"/>
      <w:jc w:val="center"/>
      <w:rPr>
        <w:rFonts w:ascii="Arial" w:hAnsi="Arial"/>
        <w:b/>
        <w:i/>
      </w:rPr>
    </w:pPr>
    <w:r>
      <w:rPr>
        <w:rFonts w:ascii="Arial" w:hAnsi="Arial"/>
        <w:b/>
        <w:i/>
        <w:noProof/>
      </w:rPr>
      <w:drawing>
        <wp:anchor distT="0" distB="0" distL="114300" distR="114300" simplePos="0" relativeHeight="251660288" behindDoc="0" locked="0" layoutInCell="1" allowOverlap="1" wp14:anchorId="0AD13406" wp14:editId="16C57ABC">
          <wp:simplePos x="0" y="0"/>
          <wp:positionH relativeFrom="column">
            <wp:posOffset>-48895</wp:posOffset>
          </wp:positionH>
          <wp:positionV relativeFrom="paragraph">
            <wp:posOffset>74930</wp:posOffset>
          </wp:positionV>
          <wp:extent cx="1371600" cy="274320"/>
          <wp:effectExtent l="0" t="0" r="0" b="0"/>
          <wp:wrapSquare wrapText="bothSides"/>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C8D9" w14:textId="77777777" w:rsidR="00A07244" w:rsidRPr="00A91166" w:rsidRDefault="00A07244" w:rsidP="00E85D0B">
    <w:pPr>
      <w:tabs>
        <w:tab w:val="left" w:pos="-720"/>
        <w:tab w:val="left" w:pos="0"/>
        <w:tab w:val="left" w:pos="720"/>
        <w:tab w:val="left" w:pos="1440"/>
        <w:tab w:val="left" w:pos="2160"/>
        <w:tab w:val="left" w:pos="2880"/>
        <w:tab w:val="left" w:pos="3600"/>
        <w:tab w:val="left" w:pos="4320"/>
      </w:tabs>
      <w:spacing w:after="0"/>
      <w:jc w:val="right"/>
      <w:rPr>
        <w:rFonts w:ascii="Helv" w:hAnsi="Helv" w:cs="Helv"/>
        <w:color w:val="999999"/>
        <w:sz w:val="18"/>
        <w:szCs w:val="18"/>
      </w:rPr>
    </w:pPr>
    <w:r>
      <w:rPr>
        <w:noProof/>
        <w:color w:val="999999"/>
      </w:rPr>
      <w:drawing>
        <wp:anchor distT="0" distB="0" distL="114300" distR="114300" simplePos="0" relativeHeight="251659264" behindDoc="0" locked="0" layoutInCell="1" allowOverlap="1" wp14:anchorId="31024CBF" wp14:editId="40471C0B">
          <wp:simplePos x="0" y="0"/>
          <wp:positionH relativeFrom="column">
            <wp:posOffset>3810</wp:posOffset>
          </wp:positionH>
          <wp:positionV relativeFrom="paragraph">
            <wp:posOffset>12700</wp:posOffset>
          </wp:positionV>
          <wp:extent cx="1371600" cy="274320"/>
          <wp:effectExtent l="0" t="0" r="0" b="0"/>
          <wp:wrapSquare wrapText="bothSides"/>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Helv" w:hAnsi="Helv" w:cs="Helv"/>
        <w:b/>
        <w:bCs/>
        <w:color w:val="999999"/>
        <w:sz w:val="18"/>
        <w:szCs w:val="18"/>
      </w:rPr>
      <w:t>Grau</w:t>
    </w:r>
    <w:r w:rsidRPr="00A91166">
      <w:rPr>
        <w:rFonts w:ascii="Helv" w:hAnsi="Helv" w:cs="Helv"/>
        <w:b/>
        <w:bCs/>
        <w:color w:val="999999"/>
        <w:sz w:val="18"/>
        <w:szCs w:val="18"/>
      </w:rPr>
      <w:t>:</w:t>
    </w:r>
    <w:r w:rsidRPr="00A91166">
      <w:rPr>
        <w:rFonts w:ascii="Helv" w:hAnsi="Helv" w:cs="Helv"/>
        <w:color w:val="999999"/>
        <w:sz w:val="18"/>
        <w:szCs w:val="18"/>
      </w:rPr>
      <w:t xml:space="preserve"> Documento Ostensivo</w:t>
    </w:r>
  </w:p>
  <w:p w14:paraId="0443FD75" w14:textId="77777777" w:rsidR="00A07244" w:rsidRPr="00A91166" w:rsidRDefault="00A07244" w:rsidP="00354B11">
    <w:pPr>
      <w:pStyle w:val="Cabealho"/>
      <w:jc w:val="right"/>
      <w:rPr>
        <w:color w:val="999999"/>
      </w:rPr>
    </w:pPr>
    <w:r w:rsidRPr="00A91166">
      <w:rPr>
        <w:rFonts w:ascii="Helv" w:hAnsi="Helv" w:cs="Helv"/>
        <w:b/>
        <w:bCs/>
        <w:color w:val="999999"/>
        <w:sz w:val="18"/>
        <w:szCs w:val="18"/>
      </w:rPr>
      <w:t>Unidade Gestora:</w:t>
    </w:r>
    <w:r w:rsidRPr="00A91166">
      <w:rPr>
        <w:rFonts w:ascii="Helv" w:hAnsi="Helv" w:cs="Helv"/>
        <w:color w:val="999999"/>
        <w:sz w:val="18"/>
        <w:szCs w:val="18"/>
      </w:rPr>
      <w:t xml:space="preserve"> A</w:t>
    </w:r>
    <w:r>
      <w:rPr>
        <w:rFonts w:ascii="Helv" w:hAnsi="Helv" w:cs="Helv"/>
        <w:color w:val="999999"/>
        <w:sz w:val="18"/>
        <w:szCs w:val="18"/>
      </w:rPr>
      <w:t>DIG</w:t>
    </w:r>
  </w:p>
  <w:p w14:paraId="3F5F3610" w14:textId="77777777" w:rsidR="00A07244" w:rsidRDefault="00A072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A4F"/>
    <w:multiLevelType w:val="hybridMultilevel"/>
    <w:tmpl w:val="47E0C690"/>
    <w:lvl w:ilvl="0" w:tplc="FFFFFFFF">
      <w:start w:val="1"/>
      <w:numFmt w:val="lowerLetter"/>
      <w:lvlText w:val="%1)"/>
      <w:lvlJc w:val="left"/>
      <w:pPr>
        <w:ind w:left="2061" w:hanging="360"/>
      </w:pPr>
      <w:rPr>
        <w:rFonts w:hint="default"/>
        <w:b/>
        <w:i w:val="0"/>
        <w:color w:val="auto"/>
        <w:sz w:val="24"/>
        <w:szCs w:val="24"/>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 w15:restartNumberingAfterBreak="0">
    <w:nsid w:val="06551621"/>
    <w:multiLevelType w:val="hybridMultilevel"/>
    <w:tmpl w:val="98CA06E6"/>
    <w:lvl w:ilvl="0" w:tplc="242897A4">
      <w:start w:val="1"/>
      <w:numFmt w:val="decimal"/>
      <w:lvlText w:val="(%1)"/>
      <w:lvlJc w:val="left"/>
      <w:pPr>
        <w:ind w:left="3337" w:hanging="360"/>
      </w:pPr>
      <w:rPr>
        <w:rFonts w:hint="default"/>
        <w:b w:val="0"/>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2" w15:restartNumberingAfterBreak="0">
    <w:nsid w:val="1B7E5C91"/>
    <w:multiLevelType w:val="hybridMultilevel"/>
    <w:tmpl w:val="72022182"/>
    <w:lvl w:ilvl="0" w:tplc="E998039C">
      <w:start w:val="1"/>
      <w:numFmt w:val="lowerLetter"/>
      <w:lvlText w:val="%1)"/>
      <w:lvlJc w:val="left"/>
      <w:pPr>
        <w:tabs>
          <w:tab w:val="num" w:pos="4330"/>
        </w:tabs>
        <w:ind w:left="4330" w:hanging="360"/>
      </w:pPr>
      <w:rPr>
        <w:rFonts w:hint="default"/>
        <w:b/>
        <w:i w:val="0"/>
        <w:strike w:val="0"/>
        <w:dstrike w:val="0"/>
        <w:color w:val="auto"/>
        <w:sz w:val="24"/>
        <w:szCs w:val="24"/>
      </w:rPr>
    </w:lvl>
    <w:lvl w:ilvl="1" w:tplc="F6AEF652">
      <w:start w:val="1"/>
      <w:numFmt w:val="lowerLetter"/>
      <w:lvlText w:val="%2)"/>
      <w:lvlJc w:val="left"/>
      <w:pPr>
        <w:tabs>
          <w:tab w:val="num" w:pos="3425"/>
        </w:tabs>
        <w:ind w:left="3425" w:hanging="360"/>
      </w:pPr>
      <w:rPr>
        <w:rFonts w:hint="default"/>
        <w:b w:val="0"/>
      </w:rPr>
    </w:lvl>
    <w:lvl w:ilvl="2" w:tplc="60A03472">
      <w:start w:val="12"/>
      <w:numFmt w:val="decimal"/>
      <w:lvlText w:val="%3."/>
      <w:lvlJc w:val="left"/>
      <w:pPr>
        <w:tabs>
          <w:tab w:val="num" w:pos="4145"/>
        </w:tabs>
        <w:ind w:left="4145" w:hanging="360"/>
      </w:pPr>
      <w:rPr>
        <w:rFonts w:hint="default"/>
      </w:rPr>
    </w:lvl>
    <w:lvl w:ilvl="3" w:tplc="04160001" w:tentative="1">
      <w:start w:val="1"/>
      <w:numFmt w:val="bullet"/>
      <w:lvlText w:val=""/>
      <w:lvlJc w:val="left"/>
      <w:pPr>
        <w:tabs>
          <w:tab w:val="num" w:pos="4865"/>
        </w:tabs>
        <w:ind w:left="4865" w:hanging="360"/>
      </w:pPr>
      <w:rPr>
        <w:rFonts w:ascii="Symbol" w:hAnsi="Symbol" w:hint="default"/>
      </w:rPr>
    </w:lvl>
    <w:lvl w:ilvl="4" w:tplc="04160003" w:tentative="1">
      <w:start w:val="1"/>
      <w:numFmt w:val="bullet"/>
      <w:lvlText w:val="o"/>
      <w:lvlJc w:val="left"/>
      <w:pPr>
        <w:tabs>
          <w:tab w:val="num" w:pos="5585"/>
        </w:tabs>
        <w:ind w:left="5585" w:hanging="360"/>
      </w:pPr>
      <w:rPr>
        <w:rFonts w:ascii="Courier New" w:hAnsi="Courier New" w:hint="default"/>
      </w:rPr>
    </w:lvl>
    <w:lvl w:ilvl="5" w:tplc="04160005" w:tentative="1">
      <w:start w:val="1"/>
      <w:numFmt w:val="bullet"/>
      <w:lvlText w:val=""/>
      <w:lvlJc w:val="left"/>
      <w:pPr>
        <w:tabs>
          <w:tab w:val="num" w:pos="6305"/>
        </w:tabs>
        <w:ind w:left="6305" w:hanging="360"/>
      </w:pPr>
      <w:rPr>
        <w:rFonts w:ascii="Wingdings" w:hAnsi="Wingdings" w:hint="default"/>
      </w:rPr>
    </w:lvl>
    <w:lvl w:ilvl="6" w:tplc="04160001" w:tentative="1">
      <w:start w:val="1"/>
      <w:numFmt w:val="bullet"/>
      <w:lvlText w:val=""/>
      <w:lvlJc w:val="left"/>
      <w:pPr>
        <w:tabs>
          <w:tab w:val="num" w:pos="7025"/>
        </w:tabs>
        <w:ind w:left="7025" w:hanging="360"/>
      </w:pPr>
      <w:rPr>
        <w:rFonts w:ascii="Symbol" w:hAnsi="Symbol" w:hint="default"/>
      </w:rPr>
    </w:lvl>
    <w:lvl w:ilvl="7" w:tplc="04160003" w:tentative="1">
      <w:start w:val="1"/>
      <w:numFmt w:val="bullet"/>
      <w:lvlText w:val="o"/>
      <w:lvlJc w:val="left"/>
      <w:pPr>
        <w:tabs>
          <w:tab w:val="num" w:pos="7745"/>
        </w:tabs>
        <w:ind w:left="7745" w:hanging="360"/>
      </w:pPr>
      <w:rPr>
        <w:rFonts w:ascii="Courier New" w:hAnsi="Courier New" w:hint="default"/>
      </w:rPr>
    </w:lvl>
    <w:lvl w:ilvl="8" w:tplc="04160005" w:tentative="1">
      <w:start w:val="1"/>
      <w:numFmt w:val="bullet"/>
      <w:lvlText w:val=""/>
      <w:lvlJc w:val="left"/>
      <w:pPr>
        <w:tabs>
          <w:tab w:val="num" w:pos="8465"/>
        </w:tabs>
        <w:ind w:left="8465" w:hanging="360"/>
      </w:pPr>
      <w:rPr>
        <w:rFonts w:ascii="Wingdings" w:hAnsi="Wingdings" w:hint="default"/>
      </w:rPr>
    </w:lvl>
  </w:abstractNum>
  <w:abstractNum w:abstractNumId="3" w15:restartNumberingAfterBreak="0">
    <w:nsid w:val="27730E7B"/>
    <w:multiLevelType w:val="hybridMultilevel"/>
    <w:tmpl w:val="5EF8CD74"/>
    <w:lvl w:ilvl="0" w:tplc="674414E2">
      <w:start w:val="1"/>
      <w:numFmt w:val="lowerLetter"/>
      <w:lvlText w:val="%1)"/>
      <w:lvlJc w:val="left"/>
      <w:pPr>
        <w:ind w:left="1353" w:hanging="360"/>
      </w:pPr>
      <w:rPr>
        <w:b/>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4" w15:restartNumberingAfterBreak="0">
    <w:nsid w:val="678D6AF9"/>
    <w:multiLevelType w:val="multilevel"/>
    <w:tmpl w:val="EF40255C"/>
    <w:lvl w:ilvl="0">
      <w:start w:val="1"/>
      <w:numFmt w:val="decimal"/>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827"/>
        </w:tabs>
        <w:ind w:left="4827" w:hanging="432"/>
      </w:pPr>
      <w:rPr>
        <w:rFonts w:hint="default"/>
        <w:b/>
        <w:i w:val="0"/>
        <w:strike w:val="0"/>
        <w:color w:val="auto"/>
        <w:sz w:val="24"/>
        <w:szCs w:val="24"/>
      </w:rPr>
    </w:lvl>
    <w:lvl w:ilvl="2">
      <w:start w:val="1"/>
      <w:numFmt w:val="decimal"/>
      <w:lvlText w:val="%1.%2.%3."/>
      <w:lvlJc w:val="left"/>
      <w:pPr>
        <w:tabs>
          <w:tab w:val="num" w:pos="1713"/>
        </w:tabs>
        <w:ind w:left="1497" w:hanging="504"/>
      </w:pPr>
      <w:rPr>
        <w:rFonts w:ascii="Arial" w:hAnsi="Arial" w:cs="Arial" w:hint="default"/>
        <w:b/>
        <w:i w:val="0"/>
        <w:color w:val="auto"/>
      </w:rPr>
    </w:lvl>
    <w:lvl w:ilvl="3">
      <w:start w:val="1"/>
      <w:numFmt w:val="lowerLetter"/>
      <w:lvlText w:val="%4)"/>
      <w:lvlJc w:val="left"/>
      <w:pPr>
        <w:tabs>
          <w:tab w:val="num" w:pos="2924"/>
        </w:tabs>
        <w:ind w:left="2492" w:hanging="648"/>
      </w:pPr>
      <w:rPr>
        <w:rFonts w:ascii="Arial" w:eastAsia="Times New Roman" w:hAnsi="Arial" w:cs="Times New Roman"/>
        <w:b/>
        <w:i w:val="0"/>
        <w:strike w:val="0"/>
        <w:color w:val="auto"/>
      </w:rPr>
    </w:lvl>
    <w:lvl w:ilvl="4">
      <w:start w:val="1"/>
      <w:numFmt w:val="decimal"/>
      <w:lvlText w:val="%1.%2.%3.%5."/>
      <w:lvlJc w:val="left"/>
      <w:pPr>
        <w:tabs>
          <w:tab w:val="num" w:pos="2520"/>
        </w:tabs>
        <w:ind w:left="2232" w:hanging="792"/>
      </w:pPr>
      <w:rPr>
        <w:rFonts w:hint="default"/>
        <w:b/>
        <w:i w:val="0"/>
        <w:strike w:val="0"/>
      </w:rPr>
    </w:lvl>
    <w:lvl w:ilvl="5">
      <w:start w:val="1"/>
      <w:numFmt w:val="lowerLetter"/>
      <w:lvlText w:val="%6)"/>
      <w:lvlJc w:val="left"/>
      <w:pPr>
        <w:tabs>
          <w:tab w:val="num" w:pos="2160"/>
        </w:tabs>
        <w:ind w:left="2160" w:hanging="360"/>
      </w:pPr>
      <w:rPr>
        <w:rFonts w:hint="default"/>
        <w:b/>
        <w:i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21B4EE4"/>
    <w:multiLevelType w:val="hybridMultilevel"/>
    <w:tmpl w:val="D194DB42"/>
    <w:lvl w:ilvl="0" w:tplc="275A0D12">
      <w:start w:val="1"/>
      <w:numFmt w:val="lowerLetter"/>
      <w:lvlText w:val="%1)"/>
      <w:lvlJc w:val="left"/>
      <w:pPr>
        <w:ind w:left="2061" w:hanging="360"/>
      </w:pPr>
      <w:rPr>
        <w:rFonts w:ascii="Arial" w:hAnsi="Arial" w:cs="Arial" w:hint="default"/>
        <w:b/>
        <w:i w:val="0"/>
        <w:color w:val="auto"/>
        <w:sz w:val="24"/>
        <w:szCs w:val="24"/>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405225956">
    <w:abstractNumId w:val="2"/>
  </w:num>
  <w:num w:numId="2" w16cid:durableId="65150038">
    <w:abstractNumId w:val="4"/>
  </w:num>
  <w:num w:numId="3" w16cid:durableId="1781683801">
    <w:abstractNumId w:val="5"/>
  </w:num>
  <w:num w:numId="4" w16cid:durableId="1815835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852730">
    <w:abstractNumId w:val="1"/>
  </w:num>
  <w:num w:numId="6" w16cid:durableId="46258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formatting="1" w:enforcement="1" w:cryptProviderType="rsaAES" w:cryptAlgorithmClass="hash" w:cryptAlgorithmType="typeAny" w:cryptAlgorithmSid="14" w:cryptSpinCount="100000" w:hash="9Iez7/yn7tmc6UZ1jgt5Be2NI+ZTK1E7BUrQdGPza3L5dG7Yp3jaMnpz+GhqxeClr5TVGZxbIDUNoMl/IGGogw==" w:salt="y34HV7zAmleEE9leUVy7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AA"/>
    <w:rsid w:val="00007509"/>
    <w:rsid w:val="0005049F"/>
    <w:rsid w:val="00092420"/>
    <w:rsid w:val="000B13FD"/>
    <w:rsid w:val="000D256B"/>
    <w:rsid w:val="000D3228"/>
    <w:rsid w:val="00123EA2"/>
    <w:rsid w:val="00153458"/>
    <w:rsid w:val="00167C9E"/>
    <w:rsid w:val="001710CD"/>
    <w:rsid w:val="001733B1"/>
    <w:rsid w:val="00175A91"/>
    <w:rsid w:val="00175ECD"/>
    <w:rsid w:val="00186F6D"/>
    <w:rsid w:val="001A12F9"/>
    <w:rsid w:val="001E7141"/>
    <w:rsid w:val="001F19ED"/>
    <w:rsid w:val="001F1E7C"/>
    <w:rsid w:val="0023086E"/>
    <w:rsid w:val="00255834"/>
    <w:rsid w:val="0028369C"/>
    <w:rsid w:val="002864C2"/>
    <w:rsid w:val="00293088"/>
    <w:rsid w:val="002A5040"/>
    <w:rsid w:val="002C448C"/>
    <w:rsid w:val="002D6A2C"/>
    <w:rsid w:val="00305FCA"/>
    <w:rsid w:val="00333579"/>
    <w:rsid w:val="00354B11"/>
    <w:rsid w:val="003A7304"/>
    <w:rsid w:val="003C2F46"/>
    <w:rsid w:val="003D4B11"/>
    <w:rsid w:val="003E0DC9"/>
    <w:rsid w:val="003F59CA"/>
    <w:rsid w:val="003F660A"/>
    <w:rsid w:val="003F740F"/>
    <w:rsid w:val="00445417"/>
    <w:rsid w:val="00451DC9"/>
    <w:rsid w:val="00464B31"/>
    <w:rsid w:val="004906A9"/>
    <w:rsid w:val="004977DE"/>
    <w:rsid w:val="004A2F51"/>
    <w:rsid w:val="004A7177"/>
    <w:rsid w:val="004B4171"/>
    <w:rsid w:val="00500D41"/>
    <w:rsid w:val="00513594"/>
    <w:rsid w:val="00517536"/>
    <w:rsid w:val="00537B39"/>
    <w:rsid w:val="0054707B"/>
    <w:rsid w:val="005560FE"/>
    <w:rsid w:val="00563DAB"/>
    <w:rsid w:val="0057550C"/>
    <w:rsid w:val="00593807"/>
    <w:rsid w:val="005A4DAD"/>
    <w:rsid w:val="005C1183"/>
    <w:rsid w:val="005E71D5"/>
    <w:rsid w:val="00614F43"/>
    <w:rsid w:val="006350E2"/>
    <w:rsid w:val="00670FC3"/>
    <w:rsid w:val="006D1FFF"/>
    <w:rsid w:val="006D487E"/>
    <w:rsid w:val="006E174F"/>
    <w:rsid w:val="00745011"/>
    <w:rsid w:val="00753AED"/>
    <w:rsid w:val="00792864"/>
    <w:rsid w:val="007A754C"/>
    <w:rsid w:val="007B718E"/>
    <w:rsid w:val="007C4406"/>
    <w:rsid w:val="007D0933"/>
    <w:rsid w:val="007E4591"/>
    <w:rsid w:val="008003B6"/>
    <w:rsid w:val="00807562"/>
    <w:rsid w:val="0082267B"/>
    <w:rsid w:val="0084211B"/>
    <w:rsid w:val="008964E2"/>
    <w:rsid w:val="008B44CC"/>
    <w:rsid w:val="008E65BE"/>
    <w:rsid w:val="008F40E3"/>
    <w:rsid w:val="008F649B"/>
    <w:rsid w:val="00942B66"/>
    <w:rsid w:val="00964AAA"/>
    <w:rsid w:val="00964BE0"/>
    <w:rsid w:val="009902BC"/>
    <w:rsid w:val="009C5F40"/>
    <w:rsid w:val="009D269F"/>
    <w:rsid w:val="009D7716"/>
    <w:rsid w:val="009E1712"/>
    <w:rsid w:val="009F0305"/>
    <w:rsid w:val="00A07244"/>
    <w:rsid w:val="00A34409"/>
    <w:rsid w:val="00A550D7"/>
    <w:rsid w:val="00AB0DEF"/>
    <w:rsid w:val="00AE4DE2"/>
    <w:rsid w:val="00B018A0"/>
    <w:rsid w:val="00B16020"/>
    <w:rsid w:val="00B33798"/>
    <w:rsid w:val="00B470ED"/>
    <w:rsid w:val="00B53F57"/>
    <w:rsid w:val="00B76352"/>
    <w:rsid w:val="00BA5A81"/>
    <w:rsid w:val="00BB2082"/>
    <w:rsid w:val="00BF19B6"/>
    <w:rsid w:val="00C01EE4"/>
    <w:rsid w:val="00C0611A"/>
    <w:rsid w:val="00C102BB"/>
    <w:rsid w:val="00C77FA6"/>
    <w:rsid w:val="00C85C65"/>
    <w:rsid w:val="00C975FD"/>
    <w:rsid w:val="00CA7420"/>
    <w:rsid w:val="00CD4C69"/>
    <w:rsid w:val="00D12CA8"/>
    <w:rsid w:val="00D55A51"/>
    <w:rsid w:val="00D70793"/>
    <w:rsid w:val="00D84ABB"/>
    <w:rsid w:val="00DA797D"/>
    <w:rsid w:val="00DD0987"/>
    <w:rsid w:val="00DD238C"/>
    <w:rsid w:val="00DD5A47"/>
    <w:rsid w:val="00DE7D39"/>
    <w:rsid w:val="00E04B68"/>
    <w:rsid w:val="00E1035C"/>
    <w:rsid w:val="00E16921"/>
    <w:rsid w:val="00E16D0D"/>
    <w:rsid w:val="00E31492"/>
    <w:rsid w:val="00E85D0B"/>
    <w:rsid w:val="00E92A4E"/>
    <w:rsid w:val="00EA283B"/>
    <w:rsid w:val="00ED1BDF"/>
    <w:rsid w:val="00EE5B46"/>
    <w:rsid w:val="00F06293"/>
    <w:rsid w:val="00F20F8E"/>
    <w:rsid w:val="00F73FC1"/>
    <w:rsid w:val="00F744F2"/>
    <w:rsid w:val="00FA1578"/>
    <w:rsid w:val="00FA2117"/>
    <w:rsid w:val="00FB0627"/>
    <w:rsid w:val="00FB2209"/>
    <w:rsid w:val="00FB2BC2"/>
    <w:rsid w:val="00FF7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482E"/>
  <w15:chartTrackingRefBased/>
  <w15:docId w15:val="{31394D5B-596B-467B-899C-FC3A94A6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88"/>
  </w:style>
  <w:style w:type="paragraph" w:styleId="Ttulo1">
    <w:name w:val="heading 1"/>
    <w:basedOn w:val="Normal"/>
    <w:next w:val="Normal"/>
    <w:link w:val="Ttulo1Char"/>
    <w:uiPriority w:val="9"/>
    <w:qFormat/>
    <w:rsid w:val="00964A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64A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64AA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64AA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64AA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64A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64A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64A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64AA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93088"/>
    <w:rPr>
      <w:b/>
      <w:bCs/>
    </w:rPr>
  </w:style>
  <w:style w:type="paragraph" w:styleId="PargrafodaLista">
    <w:name w:val="List Paragraph"/>
    <w:basedOn w:val="Normal"/>
    <w:uiPriority w:val="34"/>
    <w:qFormat/>
    <w:rsid w:val="00293088"/>
    <w:pPr>
      <w:ind w:left="720"/>
      <w:contextualSpacing/>
    </w:pPr>
  </w:style>
  <w:style w:type="character" w:customStyle="1" w:styleId="Ttulo1Char">
    <w:name w:val="Título 1 Char"/>
    <w:basedOn w:val="Fontepargpadro"/>
    <w:link w:val="Ttulo1"/>
    <w:uiPriority w:val="9"/>
    <w:rsid w:val="00964AA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64AA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64AA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64AA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64AA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64AA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64AA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64AA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64AAA"/>
    <w:rPr>
      <w:rFonts w:eastAsiaTheme="majorEastAsia" w:cstheme="majorBidi"/>
      <w:color w:val="272727" w:themeColor="text1" w:themeTint="D8"/>
    </w:rPr>
  </w:style>
  <w:style w:type="paragraph" w:styleId="Ttulo">
    <w:name w:val="Title"/>
    <w:basedOn w:val="Normal"/>
    <w:next w:val="Normal"/>
    <w:link w:val="TtuloChar"/>
    <w:uiPriority w:val="10"/>
    <w:qFormat/>
    <w:rsid w:val="00964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64A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64AA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64AA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64AAA"/>
    <w:pPr>
      <w:spacing w:before="160"/>
      <w:jc w:val="center"/>
    </w:pPr>
    <w:rPr>
      <w:i/>
      <w:iCs/>
      <w:color w:val="404040" w:themeColor="text1" w:themeTint="BF"/>
    </w:rPr>
  </w:style>
  <w:style w:type="character" w:customStyle="1" w:styleId="CitaoChar">
    <w:name w:val="Citação Char"/>
    <w:basedOn w:val="Fontepargpadro"/>
    <w:link w:val="Citao"/>
    <w:uiPriority w:val="29"/>
    <w:rsid w:val="00964AAA"/>
    <w:rPr>
      <w:i/>
      <w:iCs/>
      <w:color w:val="404040" w:themeColor="text1" w:themeTint="BF"/>
    </w:rPr>
  </w:style>
  <w:style w:type="character" w:styleId="nfaseIntensa">
    <w:name w:val="Intense Emphasis"/>
    <w:basedOn w:val="Fontepargpadro"/>
    <w:uiPriority w:val="21"/>
    <w:qFormat/>
    <w:rsid w:val="00964AAA"/>
    <w:rPr>
      <w:i/>
      <w:iCs/>
      <w:color w:val="2F5496" w:themeColor="accent1" w:themeShade="BF"/>
    </w:rPr>
  </w:style>
  <w:style w:type="paragraph" w:styleId="CitaoIntensa">
    <w:name w:val="Intense Quote"/>
    <w:basedOn w:val="Normal"/>
    <w:next w:val="Normal"/>
    <w:link w:val="CitaoIntensaChar"/>
    <w:uiPriority w:val="30"/>
    <w:qFormat/>
    <w:rsid w:val="00964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64AAA"/>
    <w:rPr>
      <w:i/>
      <w:iCs/>
      <w:color w:val="2F5496" w:themeColor="accent1" w:themeShade="BF"/>
    </w:rPr>
  </w:style>
  <w:style w:type="character" w:styleId="RefernciaIntensa">
    <w:name w:val="Intense Reference"/>
    <w:basedOn w:val="Fontepargpadro"/>
    <w:uiPriority w:val="32"/>
    <w:qFormat/>
    <w:rsid w:val="00964AAA"/>
    <w:rPr>
      <w:b/>
      <w:bCs/>
      <w:smallCaps/>
      <w:color w:val="2F5496" w:themeColor="accent1" w:themeShade="BF"/>
      <w:spacing w:val="5"/>
    </w:rPr>
  </w:style>
  <w:style w:type="paragraph" w:styleId="Rodap">
    <w:name w:val="footer"/>
    <w:basedOn w:val="Normal"/>
    <w:link w:val="RodapChar"/>
    <w:uiPriority w:val="99"/>
    <w:unhideWhenUsed/>
    <w:rsid w:val="00964AAA"/>
    <w:pPr>
      <w:tabs>
        <w:tab w:val="center" w:pos="4252"/>
        <w:tab w:val="right" w:pos="8504"/>
      </w:tabs>
      <w:spacing w:after="0" w:line="240" w:lineRule="auto"/>
    </w:pPr>
  </w:style>
  <w:style w:type="character" w:customStyle="1" w:styleId="RodapChar">
    <w:name w:val="Rodapé Char"/>
    <w:basedOn w:val="Fontepargpadro"/>
    <w:link w:val="Rodap"/>
    <w:uiPriority w:val="99"/>
    <w:rsid w:val="00964AAA"/>
  </w:style>
  <w:style w:type="paragraph" w:styleId="Cabealho">
    <w:name w:val="header"/>
    <w:basedOn w:val="Normal"/>
    <w:link w:val="CabealhoChar"/>
    <w:uiPriority w:val="99"/>
    <w:unhideWhenUsed/>
    <w:rsid w:val="00964A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AAA"/>
  </w:style>
  <w:style w:type="character" w:styleId="Nmerodepgina">
    <w:name w:val="page number"/>
    <w:basedOn w:val="Fontepargpadro"/>
    <w:rsid w:val="00964AAA"/>
  </w:style>
  <w:style w:type="paragraph" w:styleId="Reviso">
    <w:name w:val="Revision"/>
    <w:hidden/>
    <w:uiPriority w:val="99"/>
    <w:semiHidden/>
    <w:rsid w:val="00964AAA"/>
    <w:pPr>
      <w:spacing w:after="0" w:line="240" w:lineRule="auto"/>
    </w:pPr>
  </w:style>
  <w:style w:type="character" w:styleId="Refdecomentrio">
    <w:name w:val="annotation reference"/>
    <w:basedOn w:val="Fontepargpadro"/>
    <w:uiPriority w:val="99"/>
    <w:unhideWhenUsed/>
    <w:rsid w:val="00593807"/>
    <w:rPr>
      <w:sz w:val="16"/>
      <w:szCs w:val="16"/>
    </w:rPr>
  </w:style>
  <w:style w:type="paragraph" w:styleId="Textodecomentrio">
    <w:name w:val="annotation text"/>
    <w:basedOn w:val="Normal"/>
    <w:link w:val="TextodecomentrioChar"/>
    <w:uiPriority w:val="99"/>
    <w:unhideWhenUsed/>
    <w:rsid w:val="00593807"/>
    <w:pPr>
      <w:spacing w:line="240" w:lineRule="auto"/>
    </w:pPr>
    <w:rPr>
      <w:sz w:val="20"/>
      <w:szCs w:val="20"/>
    </w:rPr>
  </w:style>
  <w:style w:type="character" w:customStyle="1" w:styleId="TextodecomentrioChar">
    <w:name w:val="Texto de comentário Char"/>
    <w:basedOn w:val="Fontepargpadro"/>
    <w:link w:val="Textodecomentrio"/>
    <w:uiPriority w:val="99"/>
    <w:rsid w:val="00593807"/>
    <w:rPr>
      <w:sz w:val="20"/>
      <w:szCs w:val="20"/>
    </w:rPr>
  </w:style>
  <w:style w:type="paragraph" w:styleId="Assuntodocomentrio">
    <w:name w:val="annotation subject"/>
    <w:basedOn w:val="Textodecomentrio"/>
    <w:next w:val="Textodecomentrio"/>
    <w:link w:val="AssuntodocomentrioChar"/>
    <w:uiPriority w:val="99"/>
    <w:semiHidden/>
    <w:unhideWhenUsed/>
    <w:rsid w:val="00593807"/>
    <w:rPr>
      <w:b/>
      <w:bCs/>
    </w:rPr>
  </w:style>
  <w:style w:type="character" w:customStyle="1" w:styleId="AssuntodocomentrioChar">
    <w:name w:val="Assunto do comentário Char"/>
    <w:basedOn w:val="TextodecomentrioChar"/>
    <w:link w:val="Assuntodocomentrio"/>
    <w:uiPriority w:val="99"/>
    <w:semiHidden/>
    <w:rsid w:val="00593807"/>
    <w:rPr>
      <w:b/>
      <w:bCs/>
      <w:sz w:val="20"/>
      <w:szCs w:val="20"/>
    </w:rPr>
  </w:style>
  <w:style w:type="paragraph" w:customStyle="1" w:styleId="BNDES">
    <w:name w:val="BNDES"/>
    <w:link w:val="BNDESChar"/>
    <w:rsid w:val="00DE7D39"/>
    <w:pPr>
      <w:spacing w:after="0" w:line="240" w:lineRule="auto"/>
      <w:jc w:val="both"/>
    </w:pPr>
    <w:rPr>
      <w:rFonts w:ascii="Arial" w:eastAsia="Times New Roman" w:hAnsi="Arial" w:cs="Times New Roman"/>
      <w:kern w:val="0"/>
      <w:sz w:val="24"/>
      <w:szCs w:val="20"/>
      <w:lang w:eastAsia="pt-BR"/>
      <w14:ligatures w14:val="none"/>
    </w:rPr>
  </w:style>
  <w:style w:type="character" w:customStyle="1" w:styleId="BNDESChar">
    <w:name w:val="BNDES Char"/>
    <w:link w:val="BNDES"/>
    <w:rsid w:val="00DE7D39"/>
    <w:rPr>
      <w:rFonts w:ascii="Arial" w:eastAsia="Times New Roman" w:hAnsi="Arial" w:cs="Times New Roman"/>
      <w:kern w:val="0"/>
      <w:sz w:val="24"/>
      <w:szCs w:val="20"/>
      <w:lang w:eastAsia="pt-BR"/>
      <w14:ligatures w14:val="none"/>
    </w:rPr>
  </w:style>
  <w:style w:type="paragraph" w:customStyle="1" w:styleId="BodyText25">
    <w:name w:val="Body Text 25"/>
    <w:basedOn w:val="Normal"/>
    <w:rsid w:val="008B44CC"/>
    <w:pPr>
      <w:overflowPunct w:val="0"/>
      <w:autoSpaceDE w:val="0"/>
      <w:autoSpaceDN w:val="0"/>
      <w:adjustRightInd w:val="0"/>
      <w:spacing w:before="120" w:after="120" w:line="240" w:lineRule="auto"/>
      <w:ind w:left="1418"/>
      <w:jc w:val="both"/>
      <w:textAlignment w:val="baseline"/>
    </w:pPr>
    <w:rPr>
      <w:rFonts w:ascii="Arial" w:eastAsia="Times New Roman" w:hAnsi="Arial" w:cs="Times New Roman"/>
      <w:kern w:val="0"/>
      <w:sz w:val="24"/>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1723</Words>
  <Characters>9306</Characters>
  <Application>Microsoft Office Word</Application>
  <DocSecurity>8</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Rosa Schirmer</dc:creator>
  <cp:keywords/>
  <dc:description/>
  <cp:lastModifiedBy>Fernando Americo Santos Rodrigues</cp:lastModifiedBy>
  <cp:revision>12</cp:revision>
  <cp:lastPrinted>2024-09-13T14:30:00Z</cp:lastPrinted>
  <dcterms:created xsi:type="dcterms:W3CDTF">2024-09-12T18:16:00Z</dcterms:created>
  <dcterms:modified xsi:type="dcterms:W3CDTF">2024-10-10T20:47:00Z</dcterms:modified>
</cp:coreProperties>
</file>