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1F9F" w:rsidRDefault="00361F9F" w:rsidP="00361F9F">
      <w:pPr>
        <w:jc w:val="both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 xml:space="preserve">O disposto abaixo faz parte do plano de ação construído pelo Sistema BNDES para atingir determinadas metas estabelecidas no âmbito do </w:t>
      </w:r>
      <w:r w:rsidRPr="00361F9F">
        <w:rPr>
          <w:rFonts w:ascii="Arial" w:hAnsi="Arial" w:cs="Arial"/>
        </w:rPr>
        <w:t>Modelo de Maturidade em Ouvidoria Pública</w:t>
      </w:r>
      <w:r>
        <w:rPr>
          <w:rFonts w:ascii="Arial" w:hAnsi="Arial" w:cs="Arial"/>
        </w:rPr>
        <w:t xml:space="preserve">, </w:t>
      </w:r>
      <w:r w:rsidRPr="00361F9F">
        <w:rPr>
          <w:rFonts w:ascii="Arial" w:hAnsi="Arial" w:cs="Arial"/>
        </w:rPr>
        <w:t>desenvolvido para apoiar o processo de melhoria continuada na gestão das unidades de ouvidoria pública, mediante esforço da Controladoria-Geral da União, com consultoria do Programa da União Europeia para Coesão Social na América Latina (</w:t>
      </w:r>
      <w:proofErr w:type="spellStart"/>
      <w:r w:rsidRPr="00361F9F">
        <w:rPr>
          <w:rFonts w:ascii="Arial" w:hAnsi="Arial" w:cs="Arial"/>
        </w:rPr>
        <w:t>EUROsociAL</w:t>
      </w:r>
      <w:proofErr w:type="spellEnd"/>
      <w:r w:rsidRPr="00361F9F">
        <w:rPr>
          <w:rFonts w:ascii="Arial" w:hAnsi="Arial" w:cs="Arial"/>
        </w:rPr>
        <w:t>).</w:t>
      </w:r>
    </w:p>
    <w:p w:rsidR="00361F9F" w:rsidRDefault="00361F9F" w:rsidP="00FD0F34">
      <w:pPr>
        <w:rPr>
          <w:rFonts w:ascii="Arial" w:hAnsi="Arial" w:cs="Arial"/>
        </w:rPr>
      </w:pPr>
    </w:p>
    <w:p w:rsidR="00FD0F34" w:rsidRPr="00FD0F34" w:rsidRDefault="00FD0F34" w:rsidP="00361F9F">
      <w:pPr>
        <w:jc w:val="both"/>
      </w:pPr>
      <w:r w:rsidRPr="00FD0F34">
        <w:rPr>
          <w:rFonts w:ascii="Arial" w:hAnsi="Arial" w:cs="Arial"/>
        </w:rPr>
        <w:t>1.3.2 Garantias do titular</w:t>
      </w:r>
      <w:r>
        <w:rPr>
          <w:rFonts w:ascii="Arial" w:hAnsi="Arial" w:cs="Arial"/>
        </w:rPr>
        <w:t xml:space="preserve"> - </w:t>
      </w:r>
      <w:r w:rsidRPr="00FD0F34">
        <w:rPr>
          <w:rFonts w:ascii="Arial" w:hAnsi="Arial" w:cs="Arial"/>
        </w:rPr>
        <w:t>Colocar como escopo da Auditoria Externa o monitoramento de tais garantias</w:t>
      </w:r>
      <w:r w:rsidR="00361F9F">
        <w:rPr>
          <w:rFonts w:ascii="Arial" w:hAnsi="Arial" w:cs="Arial"/>
        </w:rPr>
        <w:t>;</w:t>
      </w:r>
    </w:p>
    <w:p w:rsidR="00FD0F34" w:rsidRDefault="00FD0F34" w:rsidP="00361F9F">
      <w:pPr>
        <w:jc w:val="both"/>
        <w:rPr>
          <w:rFonts w:ascii="Arial" w:hAnsi="Arial" w:cs="Arial"/>
        </w:rPr>
      </w:pPr>
    </w:p>
    <w:p w:rsidR="00FD0F34" w:rsidRDefault="00FD0F34" w:rsidP="00361F9F">
      <w:pPr>
        <w:jc w:val="both"/>
        <w:rPr>
          <w:rFonts w:ascii="Arial" w:hAnsi="Arial" w:cs="Arial"/>
        </w:rPr>
      </w:pPr>
      <w:r w:rsidRPr="00FD0F34">
        <w:rPr>
          <w:rFonts w:ascii="Arial" w:hAnsi="Arial" w:cs="Arial"/>
        </w:rPr>
        <w:t>1.3.3 Critérios de nomeação do titular</w:t>
      </w:r>
      <w:r>
        <w:rPr>
          <w:rFonts w:ascii="Arial" w:hAnsi="Arial" w:cs="Arial"/>
        </w:rPr>
        <w:t xml:space="preserve"> - </w:t>
      </w:r>
      <w:r w:rsidRPr="00FD0F34">
        <w:rPr>
          <w:rFonts w:ascii="Arial" w:hAnsi="Arial" w:cs="Arial"/>
        </w:rPr>
        <w:t xml:space="preserve">Observância dos termos da Portaria 1181/20 da </w:t>
      </w:r>
      <w:proofErr w:type="spellStart"/>
      <w:r w:rsidRPr="00FD0F34">
        <w:rPr>
          <w:rFonts w:ascii="Arial" w:hAnsi="Arial" w:cs="Arial"/>
        </w:rPr>
        <w:t>CGU</w:t>
      </w:r>
      <w:proofErr w:type="spellEnd"/>
      <w:r w:rsidRPr="00FD0F34">
        <w:rPr>
          <w:rFonts w:ascii="Arial" w:hAnsi="Arial" w:cs="Arial"/>
        </w:rPr>
        <w:t xml:space="preserve"> para fazer a nome</w:t>
      </w:r>
      <w:r w:rsidR="00361F9F">
        <w:rPr>
          <w:rFonts w:ascii="Arial" w:hAnsi="Arial" w:cs="Arial"/>
        </w:rPr>
        <w:t>a</w:t>
      </w:r>
      <w:r w:rsidRPr="00FD0F34">
        <w:rPr>
          <w:rFonts w:ascii="Arial" w:hAnsi="Arial" w:cs="Arial"/>
        </w:rPr>
        <w:t>ção ou designação do Ouvidor</w:t>
      </w:r>
      <w:r w:rsidR="00361F9F">
        <w:rPr>
          <w:rFonts w:ascii="Arial" w:hAnsi="Arial" w:cs="Arial"/>
        </w:rPr>
        <w:t>;</w:t>
      </w:r>
    </w:p>
    <w:p w:rsidR="00FD0F34" w:rsidRDefault="00FD0F34" w:rsidP="00361F9F">
      <w:pPr>
        <w:jc w:val="both"/>
        <w:rPr>
          <w:rFonts w:ascii="Arial" w:hAnsi="Arial" w:cs="Arial"/>
        </w:rPr>
      </w:pPr>
    </w:p>
    <w:p w:rsidR="00FD0F34" w:rsidRDefault="00FD0F34" w:rsidP="00361F9F">
      <w:pPr>
        <w:jc w:val="both"/>
        <w:rPr>
          <w:rFonts w:ascii="Arial" w:hAnsi="Arial" w:cs="Arial"/>
        </w:rPr>
      </w:pPr>
      <w:r w:rsidRPr="00FD0F34">
        <w:rPr>
          <w:rFonts w:ascii="Arial" w:hAnsi="Arial" w:cs="Arial"/>
        </w:rPr>
        <w:t>1.3.4 Acesso ao nível estratégico</w:t>
      </w:r>
      <w:r>
        <w:rPr>
          <w:rFonts w:ascii="Arial" w:hAnsi="Arial" w:cs="Arial"/>
        </w:rPr>
        <w:t xml:space="preserve"> - </w:t>
      </w:r>
      <w:r w:rsidR="00741FA0" w:rsidRPr="00FD0F34">
        <w:rPr>
          <w:rFonts w:ascii="Arial" w:hAnsi="Arial" w:cs="Arial"/>
        </w:rPr>
        <w:t xml:space="preserve">Preliminarmente, é necessário retificar a </w:t>
      </w:r>
      <w:r w:rsidR="00741FA0">
        <w:rPr>
          <w:rFonts w:ascii="Arial" w:hAnsi="Arial" w:cs="Arial"/>
        </w:rPr>
        <w:t xml:space="preserve">nota original, passando-a para 2, uma vez que semestralmente a Ouvidoria submete o seu Relatório para a Diretoria, colegiado presidido pela autoridade máxima da instituição. </w:t>
      </w:r>
      <w:r w:rsidR="00741FA0" w:rsidRPr="00FD0F34">
        <w:rPr>
          <w:rFonts w:ascii="Arial" w:hAnsi="Arial" w:cs="Arial"/>
        </w:rPr>
        <w:t xml:space="preserve">Como plano de ação para a meta a ser alcançada, a Ouvidoria </w:t>
      </w:r>
      <w:r w:rsidR="00741FA0">
        <w:rPr>
          <w:rFonts w:ascii="Arial" w:hAnsi="Arial" w:cs="Arial"/>
        </w:rPr>
        <w:t>pretende se r</w:t>
      </w:r>
      <w:r w:rsidRPr="00FD0F34">
        <w:rPr>
          <w:rFonts w:ascii="Arial" w:hAnsi="Arial" w:cs="Arial"/>
        </w:rPr>
        <w:t xml:space="preserve">eunir com o Presidente do BNDES por ocasião da tramitação dos </w:t>
      </w:r>
      <w:r w:rsidR="00741FA0">
        <w:rPr>
          <w:rFonts w:ascii="Arial" w:hAnsi="Arial" w:cs="Arial"/>
        </w:rPr>
        <w:t>seus R</w:t>
      </w:r>
      <w:r w:rsidRPr="00FD0F34">
        <w:rPr>
          <w:rFonts w:ascii="Arial" w:hAnsi="Arial" w:cs="Arial"/>
        </w:rPr>
        <w:t xml:space="preserve">elatórios de </w:t>
      </w:r>
      <w:r w:rsidR="00741FA0">
        <w:rPr>
          <w:rFonts w:ascii="Arial" w:hAnsi="Arial" w:cs="Arial"/>
        </w:rPr>
        <w:t>A</w:t>
      </w:r>
      <w:r w:rsidRPr="00FD0F34">
        <w:rPr>
          <w:rFonts w:ascii="Arial" w:hAnsi="Arial" w:cs="Arial"/>
        </w:rPr>
        <w:t xml:space="preserve">tividades, </w:t>
      </w:r>
      <w:r w:rsidR="00741FA0">
        <w:rPr>
          <w:rFonts w:ascii="Arial" w:hAnsi="Arial" w:cs="Arial"/>
        </w:rPr>
        <w:t>previamente a submissão à Diretoria</w:t>
      </w:r>
      <w:r w:rsidR="00361F9F">
        <w:rPr>
          <w:rFonts w:ascii="Arial" w:hAnsi="Arial" w:cs="Arial"/>
        </w:rPr>
        <w:t>;</w:t>
      </w:r>
    </w:p>
    <w:p w:rsidR="00FD0F34" w:rsidRDefault="00FD0F34" w:rsidP="00361F9F">
      <w:pPr>
        <w:jc w:val="both"/>
        <w:rPr>
          <w:rFonts w:ascii="Arial" w:hAnsi="Arial" w:cs="Arial"/>
        </w:rPr>
      </w:pPr>
    </w:p>
    <w:p w:rsidR="00FD0F34" w:rsidRDefault="00FD0F34" w:rsidP="00361F9F">
      <w:pPr>
        <w:jc w:val="both"/>
        <w:rPr>
          <w:rFonts w:ascii="Arial" w:hAnsi="Arial" w:cs="Arial"/>
        </w:rPr>
      </w:pPr>
      <w:r w:rsidRPr="00FD0F34">
        <w:rPr>
          <w:rFonts w:ascii="Arial" w:hAnsi="Arial" w:cs="Arial"/>
        </w:rPr>
        <w:t>1.4.1 Planejamento operacional</w:t>
      </w:r>
      <w:r>
        <w:rPr>
          <w:rFonts w:ascii="Arial" w:hAnsi="Arial" w:cs="Arial"/>
        </w:rPr>
        <w:t xml:space="preserve"> - </w:t>
      </w:r>
      <w:r w:rsidRPr="00FD0F34">
        <w:rPr>
          <w:rFonts w:ascii="Arial" w:hAnsi="Arial" w:cs="Arial"/>
        </w:rPr>
        <w:t>Assegurar que a Ouvidoria, nos termos de seu Regulamento, participe em quaisquer atividades de planejamento das empresas do Sistema BNDES que visem o combate à fraude e à corrupção</w:t>
      </w:r>
      <w:r w:rsidR="00361F9F">
        <w:rPr>
          <w:rFonts w:ascii="Arial" w:hAnsi="Arial" w:cs="Arial"/>
        </w:rPr>
        <w:t>;</w:t>
      </w:r>
    </w:p>
    <w:p w:rsidR="00FD0F34" w:rsidRDefault="00FD0F34" w:rsidP="00361F9F">
      <w:pPr>
        <w:jc w:val="both"/>
        <w:rPr>
          <w:rFonts w:ascii="Arial" w:hAnsi="Arial" w:cs="Arial"/>
        </w:rPr>
      </w:pPr>
    </w:p>
    <w:p w:rsidR="00FD0F34" w:rsidRDefault="00FD0F34" w:rsidP="00361F9F">
      <w:pPr>
        <w:jc w:val="both"/>
        <w:rPr>
          <w:rFonts w:ascii="Arial" w:hAnsi="Arial" w:cs="Arial"/>
        </w:rPr>
      </w:pPr>
      <w:r w:rsidRPr="00FD0F34">
        <w:rPr>
          <w:rFonts w:ascii="Arial" w:hAnsi="Arial" w:cs="Arial"/>
        </w:rPr>
        <w:t>1.4.2 Formação de competências</w:t>
      </w:r>
      <w:r>
        <w:rPr>
          <w:rFonts w:ascii="Arial" w:hAnsi="Arial" w:cs="Arial"/>
        </w:rPr>
        <w:t xml:space="preserve"> - </w:t>
      </w:r>
      <w:r w:rsidRPr="00FD0F34">
        <w:rPr>
          <w:rFonts w:ascii="Arial" w:hAnsi="Arial" w:cs="Arial"/>
        </w:rPr>
        <w:t xml:space="preserve">No </w:t>
      </w:r>
      <w:r w:rsidR="00361F9F">
        <w:rPr>
          <w:rFonts w:ascii="Arial" w:hAnsi="Arial" w:cs="Arial"/>
        </w:rPr>
        <w:t xml:space="preserve">âmbito da </w:t>
      </w:r>
      <w:proofErr w:type="spellStart"/>
      <w:r w:rsidR="00361F9F">
        <w:rPr>
          <w:rFonts w:ascii="Arial" w:hAnsi="Arial" w:cs="Arial"/>
        </w:rPr>
        <w:t>pactuação</w:t>
      </w:r>
      <w:proofErr w:type="spellEnd"/>
      <w:r w:rsidR="00361F9F">
        <w:rPr>
          <w:rFonts w:ascii="Arial" w:hAnsi="Arial" w:cs="Arial"/>
        </w:rPr>
        <w:t xml:space="preserve"> das metas no processo de</w:t>
      </w:r>
      <w:r w:rsidRPr="00FD0F34">
        <w:rPr>
          <w:rFonts w:ascii="Arial" w:hAnsi="Arial" w:cs="Arial"/>
        </w:rPr>
        <w:t xml:space="preserve"> </w:t>
      </w:r>
      <w:r w:rsidR="00361F9F" w:rsidRPr="00361F9F">
        <w:rPr>
          <w:rFonts w:ascii="Arial" w:hAnsi="Arial" w:cs="Arial"/>
        </w:rPr>
        <w:t>Gestão de Desempenho Individual</w:t>
      </w:r>
      <w:r w:rsidR="00361F9F">
        <w:rPr>
          <w:rFonts w:ascii="Arial" w:hAnsi="Arial" w:cs="Arial"/>
        </w:rPr>
        <w:t xml:space="preserve"> – </w:t>
      </w:r>
      <w:proofErr w:type="spellStart"/>
      <w:r w:rsidR="00361F9F">
        <w:rPr>
          <w:rFonts w:ascii="Arial" w:hAnsi="Arial" w:cs="Arial"/>
        </w:rPr>
        <w:t>GDI</w:t>
      </w:r>
      <w:proofErr w:type="spellEnd"/>
      <w:r w:rsidR="00361F9F" w:rsidRPr="00361F9F">
        <w:rPr>
          <w:rFonts w:ascii="Arial" w:hAnsi="Arial" w:cs="Arial"/>
        </w:rPr>
        <w:t xml:space="preserve"> </w:t>
      </w:r>
      <w:r w:rsidRPr="00FD0F34">
        <w:rPr>
          <w:rFonts w:ascii="Arial" w:hAnsi="Arial" w:cs="Arial"/>
        </w:rPr>
        <w:t>será fixado plano de capacitação anual, nos termos descritos na matriz de maturidade</w:t>
      </w:r>
      <w:r w:rsidR="00361F9F">
        <w:rPr>
          <w:rFonts w:ascii="Arial" w:hAnsi="Arial" w:cs="Arial"/>
        </w:rPr>
        <w:t>;</w:t>
      </w:r>
    </w:p>
    <w:p w:rsidR="00FD0F34" w:rsidRDefault="00FD0F34" w:rsidP="00361F9F">
      <w:pPr>
        <w:jc w:val="both"/>
        <w:rPr>
          <w:rFonts w:ascii="Arial" w:hAnsi="Arial" w:cs="Arial"/>
        </w:rPr>
      </w:pPr>
    </w:p>
    <w:p w:rsidR="00FD0F34" w:rsidRDefault="00FD0F34" w:rsidP="00361F9F">
      <w:pPr>
        <w:jc w:val="both"/>
        <w:rPr>
          <w:rFonts w:ascii="Arial" w:hAnsi="Arial" w:cs="Arial"/>
        </w:rPr>
      </w:pPr>
      <w:r w:rsidRPr="00FD0F34">
        <w:rPr>
          <w:rFonts w:ascii="Arial" w:hAnsi="Arial" w:cs="Arial"/>
        </w:rPr>
        <w:t>1.4.3 Eficiência de alocação de recursos</w:t>
      </w:r>
      <w:r>
        <w:rPr>
          <w:rFonts w:ascii="Arial" w:hAnsi="Arial" w:cs="Arial"/>
        </w:rPr>
        <w:t xml:space="preserve"> - </w:t>
      </w:r>
      <w:r w:rsidRPr="00FD0F34">
        <w:rPr>
          <w:rFonts w:ascii="Arial" w:hAnsi="Arial" w:cs="Arial"/>
        </w:rPr>
        <w:t>Preliminarmente, é necessário retificar a nota original, passando-a para 3. Como plano de ação para a meta a ser alcançada, a Ouvidoria, nos termos de seu novo Regulamento, passará a apresentar ao Comitê de Auditoria e aos Conselhos Fiscais e de Administração das empresas do Sistema BNDES, em periodicidade máxima de 03 (três) meses, informe acerca das manifestações recebidas pela Ouvidoria do BNDES no período, e não mais apenas ao fim de cada semestre</w:t>
      </w:r>
    </w:p>
    <w:p w:rsidR="00E223C0" w:rsidRDefault="00E223C0" w:rsidP="00361F9F">
      <w:pPr>
        <w:jc w:val="both"/>
        <w:rPr>
          <w:rFonts w:ascii="Arial" w:hAnsi="Arial" w:cs="Arial"/>
        </w:rPr>
      </w:pPr>
    </w:p>
    <w:p w:rsidR="00E223C0" w:rsidRDefault="00E223C0" w:rsidP="00361F9F">
      <w:pPr>
        <w:jc w:val="both"/>
        <w:rPr>
          <w:rFonts w:ascii="Arial" w:hAnsi="Arial" w:cs="Arial"/>
        </w:rPr>
      </w:pPr>
      <w:r w:rsidRPr="00E223C0">
        <w:rPr>
          <w:rFonts w:ascii="Arial" w:hAnsi="Arial" w:cs="Arial"/>
        </w:rPr>
        <w:t>1.4.4 Segurança da Informação</w:t>
      </w:r>
      <w:r>
        <w:rPr>
          <w:rFonts w:ascii="Arial" w:hAnsi="Arial" w:cs="Arial"/>
        </w:rPr>
        <w:t xml:space="preserve"> - </w:t>
      </w:r>
      <w:r w:rsidRPr="00E223C0">
        <w:rPr>
          <w:rFonts w:ascii="Arial" w:hAnsi="Arial" w:cs="Arial"/>
        </w:rPr>
        <w:t>É necessário que se retifique a nota da etapa anterior, uma vez que, de acordo com a unidade competente (Gerência da Segurança da Info</w:t>
      </w:r>
      <w:r w:rsidR="00361F9F">
        <w:rPr>
          <w:rFonts w:ascii="Arial" w:hAnsi="Arial" w:cs="Arial"/>
        </w:rPr>
        <w:t xml:space="preserve">rmação do BNDES - </w:t>
      </w:r>
      <w:proofErr w:type="spellStart"/>
      <w:r w:rsidR="00361F9F">
        <w:rPr>
          <w:rFonts w:ascii="Arial" w:hAnsi="Arial" w:cs="Arial"/>
        </w:rPr>
        <w:t>GSEG</w:t>
      </w:r>
      <w:proofErr w:type="spellEnd"/>
      <w:r w:rsidR="00361F9F">
        <w:rPr>
          <w:rFonts w:ascii="Arial" w:hAnsi="Arial" w:cs="Arial"/>
        </w:rPr>
        <w:t xml:space="preserve">/BNDES), </w:t>
      </w:r>
      <w:r w:rsidRPr="00E223C0">
        <w:rPr>
          <w:rFonts w:ascii="Arial" w:hAnsi="Arial" w:cs="Arial"/>
        </w:rPr>
        <w:t>o BNDES já alcançou ao nível 4, notadamente porque os gestores de riscos operacionais devem avaliar impactos de violação do sigilo de informação</w:t>
      </w:r>
      <w:r w:rsidR="00361F9F">
        <w:rPr>
          <w:rFonts w:ascii="Arial" w:hAnsi="Arial" w:cs="Arial"/>
        </w:rPr>
        <w:t xml:space="preserve"> classificada em seus processos.</w:t>
      </w:r>
      <w:r w:rsidRPr="00E223C0">
        <w:rPr>
          <w:rFonts w:ascii="Arial" w:hAnsi="Arial" w:cs="Arial"/>
        </w:rPr>
        <w:t xml:space="preserve"> Além disso, no escopo do inventário de dados pessoais em processos - inventário preliminar realizado pelo </w:t>
      </w:r>
      <w:proofErr w:type="spellStart"/>
      <w:r w:rsidRPr="00E223C0">
        <w:rPr>
          <w:rFonts w:ascii="Arial" w:hAnsi="Arial" w:cs="Arial"/>
        </w:rPr>
        <w:t>GT</w:t>
      </w:r>
      <w:proofErr w:type="spellEnd"/>
      <w:r w:rsidRPr="00E223C0">
        <w:rPr>
          <w:rFonts w:ascii="Arial" w:hAnsi="Arial" w:cs="Arial"/>
        </w:rPr>
        <w:t xml:space="preserve"> </w:t>
      </w:r>
      <w:proofErr w:type="spellStart"/>
      <w:r w:rsidRPr="00E223C0">
        <w:rPr>
          <w:rFonts w:ascii="Arial" w:hAnsi="Arial" w:cs="Arial"/>
        </w:rPr>
        <w:t>LGPD</w:t>
      </w:r>
      <w:proofErr w:type="spellEnd"/>
      <w:r w:rsidRPr="00E223C0">
        <w:rPr>
          <w:rFonts w:ascii="Arial" w:hAnsi="Arial" w:cs="Arial"/>
        </w:rPr>
        <w:t xml:space="preserve"> e que está sendo detalhado -, foram avaliados os principais riscos aos titulares de dados pessoais. Em regra, para os riscos avaliados e considerados relevantes são criados e </w:t>
      </w:r>
      <w:r w:rsidR="00361F9F">
        <w:rPr>
          <w:rFonts w:ascii="Arial" w:hAnsi="Arial" w:cs="Arial"/>
        </w:rPr>
        <w:t>acompanhados por planos de ação;</w:t>
      </w:r>
    </w:p>
    <w:p w:rsidR="00FD0F34" w:rsidRDefault="00FD0F34" w:rsidP="00361F9F">
      <w:pPr>
        <w:jc w:val="both"/>
        <w:rPr>
          <w:rFonts w:ascii="Arial" w:hAnsi="Arial" w:cs="Arial"/>
        </w:rPr>
      </w:pPr>
    </w:p>
    <w:p w:rsidR="00FD0F34" w:rsidRDefault="00FD0F34" w:rsidP="00361F9F">
      <w:pPr>
        <w:jc w:val="both"/>
        <w:rPr>
          <w:rFonts w:ascii="Arial" w:hAnsi="Arial" w:cs="Arial"/>
        </w:rPr>
      </w:pPr>
      <w:r w:rsidRPr="00FD0F34">
        <w:rPr>
          <w:rFonts w:ascii="Arial" w:hAnsi="Arial" w:cs="Arial"/>
        </w:rPr>
        <w:t>1.5.1 Infraestrutura tecnológica</w:t>
      </w:r>
      <w:r>
        <w:rPr>
          <w:rFonts w:ascii="Arial" w:hAnsi="Arial" w:cs="Arial"/>
        </w:rPr>
        <w:t xml:space="preserve"> - </w:t>
      </w:r>
      <w:r w:rsidRPr="00FD0F34">
        <w:rPr>
          <w:rFonts w:ascii="Arial" w:hAnsi="Arial" w:cs="Arial"/>
        </w:rPr>
        <w:t>Criação de módulo da Ouvidoria no CRM</w:t>
      </w:r>
      <w:r w:rsidR="00361F9F">
        <w:rPr>
          <w:rFonts w:ascii="Arial" w:hAnsi="Arial" w:cs="Arial"/>
        </w:rPr>
        <w:t xml:space="preserve"> da instituição</w:t>
      </w:r>
      <w:r w:rsidRPr="00FD0F34">
        <w:rPr>
          <w:rFonts w:ascii="Arial" w:hAnsi="Arial" w:cs="Arial"/>
        </w:rPr>
        <w:t>, o que suprirá todas as necessidades para processos de informação</w:t>
      </w:r>
      <w:r w:rsidR="00361F9F">
        <w:rPr>
          <w:rFonts w:ascii="Arial" w:hAnsi="Arial" w:cs="Arial"/>
        </w:rPr>
        <w:t>;</w:t>
      </w:r>
    </w:p>
    <w:p w:rsidR="00FD0F34" w:rsidRDefault="00FD0F34" w:rsidP="00361F9F">
      <w:pPr>
        <w:jc w:val="both"/>
        <w:rPr>
          <w:rFonts w:ascii="Arial" w:hAnsi="Arial" w:cs="Arial"/>
        </w:rPr>
      </w:pPr>
    </w:p>
    <w:p w:rsidR="00FD0F34" w:rsidRDefault="00FD0F34" w:rsidP="00361F9F">
      <w:pPr>
        <w:jc w:val="both"/>
        <w:rPr>
          <w:rFonts w:ascii="Arial" w:hAnsi="Arial" w:cs="Arial"/>
        </w:rPr>
      </w:pPr>
      <w:r w:rsidRPr="00FD0F34">
        <w:rPr>
          <w:rFonts w:ascii="Arial" w:hAnsi="Arial" w:cs="Arial"/>
        </w:rPr>
        <w:t>1.5.4 Acessibilidade tecnológica</w:t>
      </w:r>
      <w:r>
        <w:rPr>
          <w:rFonts w:ascii="Arial" w:hAnsi="Arial" w:cs="Arial"/>
        </w:rPr>
        <w:t xml:space="preserve"> - </w:t>
      </w:r>
      <w:r w:rsidRPr="00FD0F34">
        <w:rPr>
          <w:rFonts w:ascii="Arial" w:hAnsi="Arial" w:cs="Arial"/>
        </w:rPr>
        <w:t xml:space="preserve">Atingir o padrão de acessibilidade de governo eletrônico </w:t>
      </w:r>
      <w:proofErr w:type="spellStart"/>
      <w:r w:rsidRPr="00FD0F34">
        <w:rPr>
          <w:rFonts w:ascii="Arial" w:hAnsi="Arial" w:cs="Arial"/>
        </w:rPr>
        <w:t>eMAG</w:t>
      </w:r>
      <w:proofErr w:type="spellEnd"/>
      <w:r w:rsidRPr="00FD0F34">
        <w:rPr>
          <w:rFonts w:ascii="Arial" w:hAnsi="Arial" w:cs="Arial"/>
        </w:rPr>
        <w:t>", ou seja, o "aceite" da avaliação dos sites que o TCU periodicamente faz</w:t>
      </w:r>
      <w:r w:rsidR="00361F9F">
        <w:rPr>
          <w:rFonts w:ascii="Arial" w:hAnsi="Arial" w:cs="Arial"/>
        </w:rPr>
        <w:t>;</w:t>
      </w:r>
    </w:p>
    <w:p w:rsidR="00D70303" w:rsidRDefault="00D70303" w:rsidP="00361F9F">
      <w:pPr>
        <w:jc w:val="both"/>
        <w:rPr>
          <w:rFonts w:ascii="Arial" w:hAnsi="Arial" w:cs="Arial"/>
        </w:rPr>
      </w:pPr>
    </w:p>
    <w:p w:rsidR="00D70303" w:rsidRDefault="00D70303" w:rsidP="00361F9F">
      <w:pPr>
        <w:jc w:val="both"/>
        <w:rPr>
          <w:rFonts w:ascii="Arial" w:hAnsi="Arial" w:cs="Arial"/>
        </w:rPr>
      </w:pPr>
      <w:r w:rsidRPr="00D70303">
        <w:rPr>
          <w:rFonts w:ascii="Arial" w:hAnsi="Arial" w:cs="Arial"/>
        </w:rPr>
        <w:t>2.2.1 Controle social</w:t>
      </w:r>
      <w:r>
        <w:rPr>
          <w:rFonts w:ascii="Arial" w:hAnsi="Arial" w:cs="Arial"/>
        </w:rPr>
        <w:t xml:space="preserve"> - </w:t>
      </w:r>
      <w:r w:rsidRPr="00D70303">
        <w:rPr>
          <w:rFonts w:ascii="Arial" w:hAnsi="Arial" w:cs="Arial"/>
        </w:rPr>
        <w:t>A Ouvidoria estabelecerá procedimento de análise dos da</w:t>
      </w:r>
      <w:r w:rsidR="00361F9F">
        <w:rPr>
          <w:rFonts w:ascii="Arial" w:hAnsi="Arial" w:cs="Arial"/>
        </w:rPr>
        <w:t>dos disponibilizados pelo Fala BR/Painel R</w:t>
      </w:r>
      <w:r w:rsidRPr="00D70303">
        <w:rPr>
          <w:rFonts w:ascii="Arial" w:hAnsi="Arial" w:cs="Arial"/>
        </w:rPr>
        <w:t>esolveu a cada semestre</w:t>
      </w:r>
      <w:r w:rsidR="00361F9F">
        <w:rPr>
          <w:rFonts w:ascii="Arial" w:hAnsi="Arial" w:cs="Arial"/>
        </w:rPr>
        <w:t>;</w:t>
      </w:r>
    </w:p>
    <w:p w:rsidR="00D70303" w:rsidRDefault="00D70303" w:rsidP="00361F9F">
      <w:pPr>
        <w:jc w:val="both"/>
        <w:rPr>
          <w:rFonts w:ascii="Arial" w:hAnsi="Arial" w:cs="Arial"/>
        </w:rPr>
      </w:pPr>
    </w:p>
    <w:p w:rsidR="00D70303" w:rsidRDefault="00D70303" w:rsidP="00361F9F">
      <w:pPr>
        <w:jc w:val="both"/>
        <w:rPr>
          <w:rFonts w:ascii="Arial" w:hAnsi="Arial" w:cs="Arial"/>
        </w:rPr>
      </w:pPr>
      <w:proofErr w:type="gramStart"/>
      <w:r w:rsidRPr="00D70303">
        <w:rPr>
          <w:rFonts w:ascii="Arial" w:hAnsi="Arial" w:cs="Arial"/>
        </w:rPr>
        <w:t>2.2.2  Transparência</w:t>
      </w:r>
      <w:proofErr w:type="gramEnd"/>
      <w:r w:rsidRPr="00D70303">
        <w:rPr>
          <w:rFonts w:ascii="Arial" w:hAnsi="Arial" w:cs="Arial"/>
        </w:rPr>
        <w:t xml:space="preserve"> de desempenho</w:t>
      </w:r>
      <w:r>
        <w:rPr>
          <w:rFonts w:ascii="Arial" w:hAnsi="Arial" w:cs="Arial"/>
        </w:rPr>
        <w:t xml:space="preserve"> - </w:t>
      </w:r>
      <w:r w:rsidRPr="00D70303">
        <w:rPr>
          <w:rFonts w:ascii="Arial" w:hAnsi="Arial" w:cs="Arial"/>
        </w:rPr>
        <w:t>A Ouvidoria estabelecerá Plano Anual de Ação</w:t>
      </w:r>
      <w:r w:rsidR="00361F9F">
        <w:rPr>
          <w:rFonts w:ascii="Arial" w:hAnsi="Arial" w:cs="Arial"/>
        </w:rPr>
        <w:t>;</w:t>
      </w:r>
    </w:p>
    <w:p w:rsidR="00D70303" w:rsidRDefault="00D70303" w:rsidP="00361F9F">
      <w:pPr>
        <w:jc w:val="both"/>
        <w:rPr>
          <w:rFonts w:ascii="Arial" w:hAnsi="Arial" w:cs="Arial"/>
        </w:rPr>
      </w:pPr>
    </w:p>
    <w:p w:rsidR="00D70303" w:rsidRDefault="00D70303" w:rsidP="00361F9F">
      <w:pPr>
        <w:jc w:val="both"/>
        <w:rPr>
          <w:rFonts w:ascii="Arial" w:hAnsi="Arial" w:cs="Arial"/>
        </w:rPr>
      </w:pPr>
      <w:r w:rsidRPr="00D70303">
        <w:rPr>
          <w:rFonts w:ascii="Arial" w:hAnsi="Arial" w:cs="Arial"/>
        </w:rPr>
        <w:t>2.2.3 Contabilização de benefícios</w:t>
      </w:r>
      <w:r>
        <w:rPr>
          <w:rFonts w:ascii="Arial" w:hAnsi="Arial" w:cs="Arial"/>
        </w:rPr>
        <w:t xml:space="preserve"> - </w:t>
      </w:r>
      <w:r w:rsidRPr="00D70303">
        <w:rPr>
          <w:rFonts w:ascii="Arial" w:hAnsi="Arial" w:cs="Arial"/>
        </w:rPr>
        <w:t>A Ouvidoria passará a registrar os benefícios não financeiros nos relatórios de atividades semestrais, bem como o grau de satisfação dos demandantes, o qual será verificado, por amostragem, a partir das pesqu</w:t>
      </w:r>
      <w:r w:rsidR="00361F9F">
        <w:rPr>
          <w:rFonts w:ascii="Arial" w:hAnsi="Arial" w:cs="Arial"/>
        </w:rPr>
        <w:t>isas de sat</w:t>
      </w:r>
      <w:r w:rsidR="00C01DD0">
        <w:rPr>
          <w:rFonts w:ascii="Arial" w:hAnsi="Arial" w:cs="Arial"/>
        </w:rPr>
        <w:t>isfação dos usuários no Fala BR;</w:t>
      </w:r>
    </w:p>
    <w:p w:rsidR="00D70303" w:rsidRDefault="00D70303" w:rsidP="00361F9F">
      <w:pPr>
        <w:jc w:val="both"/>
        <w:rPr>
          <w:rFonts w:ascii="Arial" w:hAnsi="Arial" w:cs="Arial"/>
        </w:rPr>
      </w:pPr>
    </w:p>
    <w:p w:rsidR="00D70303" w:rsidRDefault="00D70303" w:rsidP="00361F9F">
      <w:pPr>
        <w:jc w:val="both"/>
        <w:rPr>
          <w:rFonts w:ascii="Arial" w:hAnsi="Arial" w:cs="Arial"/>
        </w:rPr>
      </w:pPr>
    </w:p>
    <w:p w:rsidR="00D70303" w:rsidRDefault="00D70303" w:rsidP="00361F9F">
      <w:pPr>
        <w:jc w:val="both"/>
        <w:rPr>
          <w:rFonts w:ascii="Arial" w:hAnsi="Arial" w:cs="Arial"/>
        </w:rPr>
      </w:pPr>
      <w:proofErr w:type="gramStart"/>
      <w:r w:rsidRPr="00D70303">
        <w:rPr>
          <w:rFonts w:ascii="Arial" w:hAnsi="Arial" w:cs="Arial"/>
        </w:rPr>
        <w:t>2.3.1  Processo</w:t>
      </w:r>
      <w:proofErr w:type="gramEnd"/>
      <w:r w:rsidRPr="00D70303">
        <w:rPr>
          <w:rFonts w:ascii="Arial" w:hAnsi="Arial" w:cs="Arial"/>
        </w:rPr>
        <w:t xml:space="preserve"> de tratamento de manifestações</w:t>
      </w:r>
      <w:r>
        <w:rPr>
          <w:rFonts w:ascii="Arial" w:hAnsi="Arial" w:cs="Arial"/>
        </w:rPr>
        <w:t xml:space="preserve"> - </w:t>
      </w:r>
      <w:r w:rsidRPr="00D70303">
        <w:rPr>
          <w:rFonts w:ascii="Arial" w:hAnsi="Arial" w:cs="Arial"/>
        </w:rPr>
        <w:t>Solicitar à Área responsável pela Gestão de Riscos da instituição que realize mapeamento de riscos do processo a cada três anos</w:t>
      </w:r>
      <w:r w:rsidR="00C01DD0">
        <w:rPr>
          <w:rFonts w:ascii="Arial" w:hAnsi="Arial" w:cs="Arial"/>
        </w:rPr>
        <w:t>;</w:t>
      </w:r>
    </w:p>
    <w:p w:rsidR="00E223C0" w:rsidRDefault="00E223C0" w:rsidP="00361F9F">
      <w:pPr>
        <w:jc w:val="both"/>
        <w:rPr>
          <w:rFonts w:ascii="Arial" w:hAnsi="Arial" w:cs="Arial"/>
        </w:rPr>
      </w:pPr>
    </w:p>
    <w:p w:rsidR="00E223C0" w:rsidRDefault="00E223C0" w:rsidP="00361F9F">
      <w:pPr>
        <w:jc w:val="both"/>
        <w:rPr>
          <w:rFonts w:ascii="Arial" w:hAnsi="Arial" w:cs="Arial"/>
        </w:rPr>
      </w:pPr>
      <w:proofErr w:type="gramStart"/>
      <w:r w:rsidRPr="00E223C0">
        <w:rPr>
          <w:rFonts w:ascii="Arial" w:hAnsi="Arial" w:cs="Arial"/>
        </w:rPr>
        <w:t>2.3.3  Atendimento</w:t>
      </w:r>
      <w:proofErr w:type="gramEnd"/>
      <w:r>
        <w:rPr>
          <w:rFonts w:ascii="Arial" w:hAnsi="Arial" w:cs="Arial"/>
        </w:rPr>
        <w:t xml:space="preserve"> - </w:t>
      </w:r>
      <w:r w:rsidRPr="00E223C0">
        <w:rPr>
          <w:rFonts w:ascii="Arial" w:hAnsi="Arial" w:cs="Arial"/>
        </w:rPr>
        <w:t>Uma vez ao ano a Ouvidoria irá rever o roteiro de atendimento das pessoas destacadas para atendimento de demandas de Ouvidoria no âmbito da Central de Atendimento (0800 da Ouvidoria)</w:t>
      </w:r>
      <w:r w:rsidR="00C01DD0">
        <w:rPr>
          <w:rFonts w:ascii="Arial" w:hAnsi="Arial" w:cs="Arial"/>
        </w:rPr>
        <w:t>;</w:t>
      </w:r>
    </w:p>
    <w:p w:rsidR="00D70303" w:rsidRDefault="00D70303" w:rsidP="00361F9F">
      <w:pPr>
        <w:jc w:val="both"/>
        <w:rPr>
          <w:rFonts w:ascii="Arial" w:hAnsi="Arial" w:cs="Arial"/>
        </w:rPr>
      </w:pPr>
    </w:p>
    <w:p w:rsidR="00D70303" w:rsidRDefault="00D70303" w:rsidP="00361F9F">
      <w:pPr>
        <w:jc w:val="both"/>
        <w:rPr>
          <w:rFonts w:ascii="Arial" w:hAnsi="Arial" w:cs="Arial"/>
        </w:rPr>
      </w:pPr>
      <w:r w:rsidRPr="00D70303">
        <w:rPr>
          <w:rFonts w:ascii="Arial" w:hAnsi="Arial" w:cs="Arial"/>
        </w:rPr>
        <w:t>2.3.5 Processo de realização de resolução pacífica de conflitos</w:t>
      </w:r>
      <w:r>
        <w:rPr>
          <w:rFonts w:ascii="Arial" w:hAnsi="Arial" w:cs="Arial"/>
        </w:rPr>
        <w:t xml:space="preserve"> - </w:t>
      </w:r>
      <w:r w:rsidRPr="00D70303">
        <w:rPr>
          <w:rFonts w:ascii="Arial" w:hAnsi="Arial" w:cs="Arial"/>
        </w:rPr>
        <w:t>Nos últimos três anos a Ouvidoria não promoveu formalmente resolução pacífica de conflitos por meio de mediação/conciliação. A partir do momento que a Ouvidoria tiver um número relevante de processos formais de resolução pacífica de conflitos, será solicitada à Área de Gestão de Risco</w:t>
      </w:r>
      <w:r w:rsidR="00C01DD0">
        <w:rPr>
          <w:rFonts w:ascii="Arial" w:hAnsi="Arial" w:cs="Arial"/>
        </w:rPr>
        <w:t>s</w:t>
      </w:r>
      <w:r w:rsidRPr="00D70303">
        <w:rPr>
          <w:rFonts w:ascii="Arial" w:hAnsi="Arial" w:cs="Arial"/>
        </w:rPr>
        <w:t xml:space="preserve"> da instituição tal mapeamento</w:t>
      </w:r>
      <w:r w:rsidR="00C01DD0">
        <w:rPr>
          <w:rFonts w:ascii="Arial" w:hAnsi="Arial" w:cs="Arial"/>
        </w:rPr>
        <w:t>;</w:t>
      </w:r>
    </w:p>
    <w:p w:rsidR="00D70303" w:rsidRDefault="00D70303" w:rsidP="00361F9F">
      <w:pPr>
        <w:jc w:val="both"/>
        <w:rPr>
          <w:rFonts w:ascii="Arial" w:hAnsi="Arial" w:cs="Arial"/>
        </w:rPr>
      </w:pPr>
    </w:p>
    <w:p w:rsidR="00D70303" w:rsidRDefault="00D70303" w:rsidP="00361F9F">
      <w:pPr>
        <w:jc w:val="both"/>
        <w:rPr>
          <w:rFonts w:ascii="Arial" w:hAnsi="Arial" w:cs="Arial"/>
        </w:rPr>
      </w:pPr>
      <w:r w:rsidRPr="00D70303">
        <w:rPr>
          <w:rFonts w:ascii="Arial" w:hAnsi="Arial" w:cs="Arial"/>
        </w:rPr>
        <w:t>2.3.6 Análise preliminar</w:t>
      </w:r>
      <w:r>
        <w:rPr>
          <w:rFonts w:ascii="Arial" w:hAnsi="Arial" w:cs="Arial"/>
        </w:rPr>
        <w:t xml:space="preserve"> - </w:t>
      </w:r>
      <w:r w:rsidRPr="00D70303">
        <w:rPr>
          <w:rFonts w:ascii="Arial" w:hAnsi="Arial" w:cs="Arial"/>
        </w:rPr>
        <w:t xml:space="preserve">A implementação do módulo de Ouvidoria no CRM permitirá a automatização da busca de informações necessárias a </w:t>
      </w:r>
      <w:r w:rsidR="00C01DD0">
        <w:rPr>
          <w:rFonts w:ascii="Arial" w:hAnsi="Arial" w:cs="Arial"/>
        </w:rPr>
        <w:t>esta qualificação da informação;</w:t>
      </w:r>
    </w:p>
    <w:p w:rsidR="00E223C0" w:rsidRDefault="00E223C0" w:rsidP="00361F9F">
      <w:pPr>
        <w:jc w:val="both"/>
        <w:rPr>
          <w:rFonts w:ascii="Arial" w:hAnsi="Arial" w:cs="Arial"/>
        </w:rPr>
      </w:pPr>
    </w:p>
    <w:p w:rsidR="00E223C0" w:rsidRDefault="00E223C0" w:rsidP="00361F9F">
      <w:pPr>
        <w:jc w:val="both"/>
        <w:rPr>
          <w:rFonts w:ascii="Arial" w:hAnsi="Arial" w:cs="Arial"/>
        </w:rPr>
      </w:pPr>
      <w:r w:rsidRPr="00E223C0">
        <w:rPr>
          <w:rFonts w:ascii="Arial" w:hAnsi="Arial" w:cs="Arial"/>
        </w:rPr>
        <w:t>2.3.8 Acompanhamento da conclusão de denúncias</w:t>
      </w:r>
      <w:r>
        <w:rPr>
          <w:rFonts w:ascii="Arial" w:hAnsi="Arial" w:cs="Arial"/>
        </w:rPr>
        <w:t xml:space="preserve"> - </w:t>
      </w:r>
      <w:r w:rsidRPr="00E223C0">
        <w:rPr>
          <w:rFonts w:ascii="Arial" w:hAnsi="Arial" w:cs="Arial"/>
        </w:rPr>
        <w:t>A implementação do módulo de Ouvidoria no CRM possibilitará que a rastreabilidade seja automatizada</w:t>
      </w:r>
      <w:r w:rsidR="00C01DD0">
        <w:rPr>
          <w:rFonts w:ascii="Arial" w:hAnsi="Arial" w:cs="Arial"/>
        </w:rPr>
        <w:t>;</w:t>
      </w:r>
    </w:p>
    <w:p w:rsidR="00D70303" w:rsidRDefault="00D70303" w:rsidP="00361F9F">
      <w:pPr>
        <w:jc w:val="both"/>
        <w:rPr>
          <w:rFonts w:ascii="Arial" w:hAnsi="Arial" w:cs="Arial"/>
        </w:rPr>
      </w:pPr>
    </w:p>
    <w:p w:rsidR="00D70303" w:rsidRDefault="00D70303" w:rsidP="00361F9F">
      <w:pPr>
        <w:jc w:val="both"/>
        <w:rPr>
          <w:rFonts w:ascii="Arial" w:hAnsi="Arial" w:cs="Arial"/>
        </w:rPr>
      </w:pPr>
      <w:r w:rsidRPr="00D70303">
        <w:rPr>
          <w:rFonts w:ascii="Arial" w:hAnsi="Arial" w:cs="Arial"/>
        </w:rPr>
        <w:t>2.3.9 Acompanhamento efetivo de manifestações.</w:t>
      </w:r>
      <w:r w:rsidR="00C01DD0">
        <w:rPr>
          <w:rFonts w:ascii="Arial" w:hAnsi="Arial" w:cs="Arial"/>
        </w:rPr>
        <w:t xml:space="preserve"> </w:t>
      </w:r>
      <w:r w:rsidRPr="00D70303">
        <w:rPr>
          <w:rFonts w:ascii="Arial" w:hAnsi="Arial" w:cs="Arial"/>
        </w:rPr>
        <w:t>A implementação do módulo de Ouvidoria no CRM possibilitará a realização do referido controle</w:t>
      </w:r>
      <w:r w:rsidR="00C01DD0">
        <w:rPr>
          <w:rFonts w:ascii="Arial" w:hAnsi="Arial" w:cs="Arial"/>
        </w:rPr>
        <w:t>;</w:t>
      </w:r>
    </w:p>
    <w:p w:rsidR="00FD0F34" w:rsidRDefault="00FD0F34" w:rsidP="00361F9F">
      <w:pPr>
        <w:jc w:val="both"/>
        <w:rPr>
          <w:rFonts w:ascii="Arial" w:hAnsi="Arial" w:cs="Arial"/>
        </w:rPr>
      </w:pPr>
    </w:p>
    <w:p w:rsidR="00FD0F34" w:rsidRDefault="00D70303" w:rsidP="00361F9F">
      <w:pPr>
        <w:jc w:val="both"/>
        <w:rPr>
          <w:rFonts w:ascii="Arial" w:hAnsi="Arial" w:cs="Arial"/>
        </w:rPr>
      </w:pPr>
      <w:proofErr w:type="gramStart"/>
      <w:r w:rsidRPr="00D70303">
        <w:rPr>
          <w:rFonts w:ascii="Arial" w:hAnsi="Arial" w:cs="Arial"/>
        </w:rPr>
        <w:t>2.4.1  Armazenamento</w:t>
      </w:r>
      <w:proofErr w:type="gramEnd"/>
      <w:r w:rsidRPr="00D70303">
        <w:rPr>
          <w:rFonts w:ascii="Arial" w:hAnsi="Arial" w:cs="Arial"/>
        </w:rPr>
        <w:t xml:space="preserve"> de informaçõe</w:t>
      </w:r>
      <w:r>
        <w:rPr>
          <w:rFonts w:ascii="Arial" w:hAnsi="Arial" w:cs="Arial"/>
        </w:rPr>
        <w:t xml:space="preserve">s - </w:t>
      </w:r>
      <w:r w:rsidRPr="00D70303">
        <w:rPr>
          <w:rFonts w:ascii="Arial" w:hAnsi="Arial" w:cs="Arial"/>
        </w:rPr>
        <w:t>A implantação do CRM po</w:t>
      </w:r>
      <w:r w:rsidR="00C01DD0">
        <w:rPr>
          <w:rFonts w:ascii="Arial" w:hAnsi="Arial" w:cs="Arial"/>
        </w:rPr>
        <w:t>ssibilitará endereçar a questão;</w:t>
      </w:r>
    </w:p>
    <w:p w:rsidR="00D70303" w:rsidRDefault="00D70303" w:rsidP="00361F9F">
      <w:pPr>
        <w:jc w:val="both"/>
        <w:rPr>
          <w:rFonts w:ascii="Arial" w:hAnsi="Arial" w:cs="Arial"/>
        </w:rPr>
      </w:pPr>
    </w:p>
    <w:p w:rsidR="00D70303" w:rsidRDefault="00D70303" w:rsidP="00361F9F">
      <w:pPr>
        <w:jc w:val="both"/>
        <w:rPr>
          <w:rFonts w:ascii="Arial" w:hAnsi="Arial" w:cs="Arial"/>
        </w:rPr>
      </w:pPr>
      <w:r w:rsidRPr="00D70303">
        <w:rPr>
          <w:rFonts w:ascii="Arial" w:hAnsi="Arial" w:cs="Arial"/>
        </w:rPr>
        <w:t>2.4.2 Perfil dos manifestantes</w:t>
      </w:r>
      <w:r>
        <w:rPr>
          <w:rFonts w:ascii="Arial" w:hAnsi="Arial" w:cs="Arial"/>
        </w:rPr>
        <w:t xml:space="preserve"> - </w:t>
      </w:r>
      <w:r w:rsidRPr="00D70303">
        <w:rPr>
          <w:rFonts w:ascii="Arial" w:hAnsi="Arial" w:cs="Arial"/>
        </w:rPr>
        <w:t xml:space="preserve">A Ouvidoria </w:t>
      </w:r>
      <w:r w:rsidR="00C01DD0">
        <w:rPr>
          <w:rFonts w:ascii="Arial" w:hAnsi="Arial" w:cs="Arial"/>
        </w:rPr>
        <w:t>analisará semestralmente a</w:t>
      </w:r>
      <w:r w:rsidRPr="00D70303">
        <w:rPr>
          <w:rFonts w:ascii="Arial" w:hAnsi="Arial" w:cs="Arial"/>
        </w:rPr>
        <w:t xml:space="preserve"> pesquisa de satisfação</w:t>
      </w:r>
      <w:r w:rsidR="00C01DD0">
        <w:rPr>
          <w:rFonts w:ascii="Arial" w:hAnsi="Arial" w:cs="Arial"/>
        </w:rPr>
        <w:t xml:space="preserve"> do Fala BR</w:t>
      </w:r>
      <w:r w:rsidRPr="00D70303">
        <w:rPr>
          <w:rFonts w:ascii="Arial" w:hAnsi="Arial" w:cs="Arial"/>
        </w:rPr>
        <w:t xml:space="preserve">, a qual </w:t>
      </w:r>
      <w:r w:rsidR="00C01DD0">
        <w:rPr>
          <w:rFonts w:ascii="Arial" w:hAnsi="Arial" w:cs="Arial"/>
        </w:rPr>
        <w:t>permitirá</w:t>
      </w:r>
      <w:r w:rsidRPr="00D70303">
        <w:rPr>
          <w:rFonts w:ascii="Arial" w:hAnsi="Arial" w:cs="Arial"/>
        </w:rPr>
        <w:t xml:space="preserve"> acessar os manifestantes por amostragem</w:t>
      </w:r>
      <w:r w:rsidR="00C01DD0">
        <w:rPr>
          <w:rFonts w:ascii="Arial" w:hAnsi="Arial" w:cs="Arial"/>
        </w:rPr>
        <w:t>;</w:t>
      </w:r>
    </w:p>
    <w:p w:rsidR="00D70303" w:rsidRDefault="00D70303" w:rsidP="00361F9F">
      <w:pPr>
        <w:jc w:val="both"/>
        <w:rPr>
          <w:rFonts w:ascii="Arial" w:hAnsi="Arial" w:cs="Arial"/>
        </w:rPr>
      </w:pPr>
    </w:p>
    <w:p w:rsidR="00D70303" w:rsidRDefault="00D70303" w:rsidP="00361F9F">
      <w:pPr>
        <w:jc w:val="both"/>
        <w:rPr>
          <w:rFonts w:ascii="Arial" w:hAnsi="Arial" w:cs="Arial"/>
        </w:rPr>
      </w:pPr>
      <w:r w:rsidRPr="00D70303">
        <w:rPr>
          <w:rFonts w:ascii="Arial" w:hAnsi="Arial" w:cs="Arial"/>
        </w:rPr>
        <w:t>2.4.3 Análise de dados</w:t>
      </w:r>
      <w:r>
        <w:rPr>
          <w:rFonts w:ascii="Arial" w:hAnsi="Arial" w:cs="Arial"/>
        </w:rPr>
        <w:t xml:space="preserve"> - </w:t>
      </w:r>
      <w:r w:rsidRPr="00D70303">
        <w:rPr>
          <w:rFonts w:ascii="Arial" w:hAnsi="Arial" w:cs="Arial"/>
        </w:rPr>
        <w:t>A implantação do CRM po</w:t>
      </w:r>
      <w:r w:rsidR="00C01DD0">
        <w:rPr>
          <w:rFonts w:ascii="Arial" w:hAnsi="Arial" w:cs="Arial"/>
        </w:rPr>
        <w:t>ssibilitará endereçar a questão;</w:t>
      </w:r>
    </w:p>
    <w:p w:rsidR="00D70303" w:rsidRDefault="00D70303" w:rsidP="00361F9F">
      <w:pPr>
        <w:jc w:val="both"/>
        <w:rPr>
          <w:rFonts w:ascii="Arial" w:hAnsi="Arial" w:cs="Arial"/>
        </w:rPr>
      </w:pPr>
    </w:p>
    <w:p w:rsidR="00D70303" w:rsidRDefault="00D70303" w:rsidP="00361F9F">
      <w:pPr>
        <w:jc w:val="both"/>
        <w:rPr>
          <w:rFonts w:ascii="Arial" w:hAnsi="Arial" w:cs="Arial"/>
        </w:rPr>
      </w:pPr>
      <w:r w:rsidRPr="00D70303">
        <w:rPr>
          <w:rFonts w:ascii="Arial" w:hAnsi="Arial" w:cs="Arial"/>
        </w:rPr>
        <w:t>2.4.4 Produção de informações estratégicas</w:t>
      </w:r>
      <w:r>
        <w:rPr>
          <w:rFonts w:ascii="Arial" w:hAnsi="Arial" w:cs="Arial"/>
        </w:rPr>
        <w:t xml:space="preserve"> - </w:t>
      </w:r>
      <w:r w:rsidRPr="00D70303">
        <w:rPr>
          <w:rFonts w:ascii="Arial" w:hAnsi="Arial" w:cs="Arial"/>
        </w:rPr>
        <w:t>A implantação do CRM permitirá a automação dos procedimentos de Ouvidoria</w:t>
      </w:r>
      <w:r w:rsidR="00C01DD0">
        <w:rPr>
          <w:rFonts w:ascii="Arial" w:hAnsi="Arial" w:cs="Arial"/>
        </w:rPr>
        <w:t>;</w:t>
      </w:r>
    </w:p>
    <w:p w:rsidR="00D70303" w:rsidRDefault="00D70303" w:rsidP="00361F9F">
      <w:pPr>
        <w:jc w:val="both"/>
        <w:rPr>
          <w:rFonts w:ascii="Arial" w:hAnsi="Arial" w:cs="Arial"/>
        </w:rPr>
      </w:pPr>
    </w:p>
    <w:p w:rsidR="00D70303" w:rsidRDefault="00D70303" w:rsidP="00361F9F">
      <w:pPr>
        <w:jc w:val="both"/>
        <w:rPr>
          <w:rFonts w:ascii="Arial" w:hAnsi="Arial" w:cs="Arial"/>
        </w:rPr>
      </w:pPr>
      <w:r w:rsidRPr="00D70303">
        <w:rPr>
          <w:rFonts w:ascii="Arial" w:hAnsi="Arial" w:cs="Arial"/>
        </w:rPr>
        <w:t>3.1.2 Mobilização ativa junto aos usuários</w:t>
      </w:r>
      <w:r>
        <w:rPr>
          <w:rFonts w:ascii="Arial" w:hAnsi="Arial" w:cs="Arial"/>
        </w:rPr>
        <w:t xml:space="preserve"> - </w:t>
      </w:r>
      <w:r w:rsidRPr="00D70303">
        <w:rPr>
          <w:rFonts w:ascii="Arial" w:hAnsi="Arial" w:cs="Arial"/>
        </w:rPr>
        <w:t>Não obstante não existir meta porque o BNDES não é prestador de serviço público, importante destacar que a Ouvidoria do BNDES, até recentemente, não possuía normas que embasassem ações de ouvidoria ativa. O novo Regulament</w:t>
      </w:r>
      <w:r w:rsidR="00C01DD0">
        <w:rPr>
          <w:rFonts w:ascii="Arial" w:hAnsi="Arial" w:cs="Arial"/>
        </w:rPr>
        <w:t xml:space="preserve">o da Ouvidoria passou a prever </w:t>
      </w:r>
      <w:r w:rsidRPr="00D70303">
        <w:rPr>
          <w:rFonts w:ascii="Arial" w:hAnsi="Arial" w:cs="Arial"/>
        </w:rPr>
        <w:t>ações de ouvidoria ativa, o que possibilitará à Ouvidoria participar, após os fins das restrições da pandemia, de feiras e atividades promovidas pelo BNDES, as quais permitem um contato ativo com o cidadão</w:t>
      </w:r>
      <w:r w:rsidR="00C01DD0">
        <w:rPr>
          <w:rFonts w:ascii="Arial" w:hAnsi="Arial" w:cs="Arial"/>
        </w:rPr>
        <w:t>;</w:t>
      </w:r>
    </w:p>
    <w:p w:rsidR="00E223C0" w:rsidRDefault="00E223C0" w:rsidP="00361F9F">
      <w:pPr>
        <w:jc w:val="both"/>
        <w:rPr>
          <w:rFonts w:ascii="Arial" w:hAnsi="Arial" w:cs="Arial"/>
        </w:rPr>
      </w:pPr>
    </w:p>
    <w:p w:rsidR="00E223C0" w:rsidRDefault="00E223C0" w:rsidP="00361F9F">
      <w:pPr>
        <w:jc w:val="both"/>
        <w:rPr>
          <w:rFonts w:ascii="Arial" w:hAnsi="Arial" w:cs="Arial"/>
        </w:rPr>
      </w:pPr>
      <w:r w:rsidRPr="00E223C0">
        <w:rPr>
          <w:rFonts w:ascii="Arial" w:hAnsi="Arial" w:cs="Arial"/>
        </w:rPr>
        <w:t>3.3.2 Articulação interinstitucional específica</w:t>
      </w:r>
      <w:r>
        <w:rPr>
          <w:rFonts w:ascii="Arial" w:hAnsi="Arial" w:cs="Arial"/>
        </w:rPr>
        <w:t xml:space="preserve"> - </w:t>
      </w:r>
      <w:r w:rsidRPr="00E223C0">
        <w:rPr>
          <w:rFonts w:ascii="Arial" w:hAnsi="Arial" w:cs="Arial"/>
        </w:rPr>
        <w:t>A Ouvidoria do BNDES buscará promover ações conjuntas sempre que possível com outras ouvidorias, mas sem uma meta vinculada a isso, dado que as atividades-fim do BNDES em muito se diferem daquelas executadas por outros órgãos e entidades da Administração Pública</w:t>
      </w:r>
      <w:r w:rsidR="00C01DD0">
        <w:rPr>
          <w:rFonts w:ascii="Arial" w:hAnsi="Arial" w:cs="Arial"/>
        </w:rPr>
        <w:t>.</w:t>
      </w:r>
    </w:p>
    <w:sectPr w:rsidR="00E223C0">
      <w:pgSz w:w="11907" w:h="16840" w:code="9"/>
      <w:pgMar w:top="1418" w:right="1701" w:bottom="1418" w:left="1701" w:header="709" w:footer="709" w:gutter="0"/>
      <w:cols w:space="708"/>
      <w:docGrid w:linePitch="360" w:charSpace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timu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activeWritingStyle w:appName="MSWord" w:lang="pt-BR" w:vendorID="1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lickAndTypeStyle w:val="BNDES"/>
  <w:drawingGridHorizontalSpacing w:val="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0F34"/>
    <w:rsid w:val="000E1807"/>
    <w:rsid w:val="00361F9F"/>
    <w:rsid w:val="0043400B"/>
    <w:rsid w:val="00741FA0"/>
    <w:rsid w:val="0078281C"/>
    <w:rsid w:val="00BA15B2"/>
    <w:rsid w:val="00C01DD0"/>
    <w:rsid w:val="00D70303"/>
    <w:rsid w:val="00E223C0"/>
    <w:rsid w:val="00EC66D2"/>
    <w:rsid w:val="00ED182E"/>
    <w:rsid w:val="00F911E9"/>
    <w:rsid w:val="00F9171D"/>
    <w:rsid w:val="00FD0F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F5BDF22-94D0-4889-A929-A91C8ECCAC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Optimum" w:hAnsi="Optimum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BNDES">
    <w:name w:val="BNDES"/>
    <w:basedOn w:val="Normal"/>
    <w:rsid w:val="0043400B"/>
    <w:pPr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956</Words>
  <Characters>5164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BNDES</Company>
  <LinksUpToDate>false</LinksUpToDate>
  <CharactersWithSpaces>6108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Adm$SOS</dc:creator>
  <cp:keywords/>
  <dc:description/>
  <cp:lastModifiedBy>Adm$SOS</cp:lastModifiedBy>
  <cp:revision>2</cp:revision>
  <dcterms:created xsi:type="dcterms:W3CDTF">2022-02-23T00:00:00Z</dcterms:created>
  <dcterms:modified xsi:type="dcterms:W3CDTF">2022-02-23T00:00:00Z</dcterms:modified>
</cp:coreProperties>
</file>